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EAF" w:rsidRDefault="00A83EAF" w:rsidP="00A83EAF">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ІНСТРУКЦІЯ</w:t>
      </w:r>
    </w:p>
    <w:p w:rsidR="00A83EAF" w:rsidRDefault="00A83EAF" w:rsidP="00A83EAF">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для медичного застосування </w:t>
      </w:r>
      <w:r>
        <w:rPr>
          <w:rFonts w:ascii="Times New Roman" w:hAnsi="Times New Roman"/>
          <w:b/>
          <w:bCs/>
          <w:sz w:val="24"/>
          <w:szCs w:val="24"/>
          <w:lang w:eastAsia="ru-RU"/>
        </w:rPr>
        <w:t>лікарського засобу</w:t>
      </w:r>
    </w:p>
    <w:p w:rsidR="00A83EAF" w:rsidRDefault="00A83EAF" w:rsidP="00A83EAF">
      <w:pPr>
        <w:spacing w:after="0" w:line="240" w:lineRule="auto"/>
        <w:ind w:left="2040" w:right="2000"/>
        <w:jc w:val="center"/>
        <w:rPr>
          <w:rFonts w:ascii="Times New Roman" w:hAnsi="Times New Roman"/>
          <w:b/>
          <w:sz w:val="24"/>
          <w:szCs w:val="24"/>
          <w:lang w:eastAsia="ru-RU"/>
        </w:rPr>
      </w:pPr>
    </w:p>
    <w:p w:rsidR="00A83EAF" w:rsidRDefault="00A83EAF" w:rsidP="00A83EAF">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ЛІФЕЛЕЗА</w:t>
      </w:r>
    </w:p>
    <w:p w:rsidR="00A83EAF" w:rsidRDefault="00A83EAF" w:rsidP="00A83EAF">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(LIFELEZA)</w:t>
      </w:r>
    </w:p>
    <w:p w:rsidR="00A83EAF" w:rsidRDefault="00A83EAF" w:rsidP="00A83EAF">
      <w:pPr>
        <w:spacing w:after="0" w:line="240" w:lineRule="auto"/>
        <w:ind w:right="-143"/>
        <w:jc w:val="center"/>
        <w:rPr>
          <w:rFonts w:ascii="Times New Roman" w:hAnsi="Times New Roman"/>
          <w:sz w:val="24"/>
          <w:szCs w:val="24"/>
        </w:rPr>
      </w:pPr>
    </w:p>
    <w:p w:rsidR="00A83EAF" w:rsidRDefault="00A83EAF" w:rsidP="00A83EAF">
      <w:pPr>
        <w:spacing w:after="0" w:line="240" w:lineRule="auto"/>
        <w:ind w:right="-143"/>
        <w:jc w:val="center"/>
        <w:rPr>
          <w:rFonts w:ascii="Times New Roman" w:hAnsi="Times New Roman"/>
          <w:sz w:val="24"/>
          <w:szCs w:val="24"/>
        </w:rPr>
      </w:pPr>
    </w:p>
    <w:p w:rsidR="00A83EAF" w:rsidRDefault="00A83EAF" w:rsidP="00A83EAF">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Склад:</w:t>
      </w:r>
    </w:p>
    <w:p w:rsidR="00A83EAF" w:rsidRDefault="00A83EAF" w:rsidP="00A83EAF">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діючі речовини:</w:t>
      </w:r>
      <w:r>
        <w:rPr>
          <w:rFonts w:ascii="Times New Roman" w:hAnsi="Times New Roman"/>
          <w:i/>
          <w:sz w:val="24"/>
          <w:szCs w:val="24"/>
          <w:lang w:eastAsia="ru-RU"/>
        </w:rPr>
        <w:t xml:space="preserve"> </w:t>
      </w:r>
      <w:proofErr w:type="spellStart"/>
      <w:r>
        <w:rPr>
          <w:rFonts w:ascii="Times New Roman" w:hAnsi="Times New Roman"/>
          <w:bCs/>
          <w:sz w:val="24"/>
          <w:szCs w:val="24"/>
          <w:lang w:eastAsia="ru-RU"/>
        </w:rPr>
        <w:t>бемпедоєва</w:t>
      </w:r>
      <w:proofErr w:type="spellEnd"/>
      <w:r>
        <w:rPr>
          <w:rFonts w:ascii="Times New Roman" w:hAnsi="Times New Roman"/>
          <w:bCs/>
          <w:sz w:val="24"/>
          <w:szCs w:val="24"/>
          <w:lang w:eastAsia="ru-RU"/>
        </w:rPr>
        <w:t xml:space="preserve"> кислота, </w:t>
      </w:r>
      <w:proofErr w:type="spellStart"/>
      <w:r>
        <w:rPr>
          <w:rFonts w:ascii="Times New Roman" w:hAnsi="Times New Roman"/>
          <w:bCs/>
          <w:sz w:val="24"/>
          <w:szCs w:val="24"/>
          <w:lang w:eastAsia="ru-RU"/>
        </w:rPr>
        <w:t>езетиміб</w:t>
      </w:r>
      <w:proofErr w:type="spellEnd"/>
      <w:r>
        <w:rPr>
          <w:rFonts w:ascii="Times New Roman" w:hAnsi="Times New Roman"/>
          <w:bCs/>
          <w:sz w:val="24"/>
          <w:szCs w:val="24"/>
          <w:lang w:eastAsia="ru-RU"/>
        </w:rPr>
        <w:t>;</w:t>
      </w:r>
    </w:p>
    <w:p w:rsidR="00A83EAF" w:rsidRDefault="00A83EAF" w:rsidP="00A83EAF">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 xml:space="preserve">1 таблетка, вкрита плівковою оболонкою, містить 180 мг </w:t>
      </w:r>
      <w:proofErr w:type="spellStart"/>
      <w:r>
        <w:rPr>
          <w:rFonts w:ascii="Times New Roman" w:hAnsi="Times New Roman"/>
          <w:bCs/>
          <w:sz w:val="24"/>
          <w:szCs w:val="24"/>
          <w:lang w:eastAsia="ru-RU"/>
        </w:rPr>
        <w:t>бемпедоєвої</w:t>
      </w:r>
      <w:proofErr w:type="spellEnd"/>
      <w:r>
        <w:rPr>
          <w:rFonts w:ascii="Times New Roman" w:hAnsi="Times New Roman"/>
          <w:bCs/>
          <w:sz w:val="24"/>
          <w:szCs w:val="24"/>
          <w:lang w:eastAsia="ru-RU"/>
        </w:rPr>
        <w:t xml:space="preserve"> кислоти та 10 мг </w:t>
      </w:r>
      <w:proofErr w:type="spellStart"/>
      <w:r>
        <w:rPr>
          <w:rFonts w:ascii="Times New Roman" w:hAnsi="Times New Roman"/>
          <w:bCs/>
          <w:sz w:val="24"/>
          <w:szCs w:val="24"/>
          <w:lang w:eastAsia="ru-RU"/>
        </w:rPr>
        <w:t>езетимібу</w:t>
      </w:r>
      <w:proofErr w:type="spellEnd"/>
      <w:r>
        <w:rPr>
          <w:rFonts w:ascii="Times New Roman" w:hAnsi="Times New Roman"/>
          <w:bCs/>
          <w:sz w:val="24"/>
          <w:szCs w:val="24"/>
          <w:lang w:eastAsia="ru-RU"/>
        </w:rPr>
        <w:t>;</w:t>
      </w:r>
    </w:p>
    <w:p w:rsidR="00A83EAF" w:rsidRDefault="00A83EAF" w:rsidP="00A83EAF">
      <w:pPr>
        <w:spacing w:after="0" w:line="240" w:lineRule="auto"/>
        <w:jc w:val="both"/>
        <w:rPr>
          <w:rFonts w:ascii="Times New Roman" w:hAnsi="Times New Roman"/>
          <w:bCs/>
          <w:sz w:val="24"/>
          <w:szCs w:val="24"/>
          <w:lang w:eastAsia="ru-RU"/>
        </w:rPr>
      </w:pPr>
      <w:r>
        <w:rPr>
          <w:rFonts w:ascii="Times New Roman" w:hAnsi="Times New Roman"/>
          <w:sz w:val="24"/>
          <w:szCs w:val="24"/>
        </w:rPr>
        <w:t>допоміжні речовини: лактоза, моногідрат; целюлоза мікрокристалічна (</w:t>
      </w:r>
      <w:proofErr w:type="spellStart"/>
      <w:r>
        <w:rPr>
          <w:rFonts w:ascii="Times New Roman" w:hAnsi="Times New Roman"/>
          <w:sz w:val="24"/>
          <w:szCs w:val="24"/>
        </w:rPr>
        <w:t>тип</w:t>
      </w:r>
      <w:proofErr w:type="spellEnd"/>
      <w:r>
        <w:rPr>
          <w:rFonts w:ascii="Times New Roman" w:hAnsi="Times New Roman"/>
          <w:sz w:val="24"/>
          <w:szCs w:val="24"/>
        </w:rPr>
        <w:t xml:space="preserve"> 102); натрію </w:t>
      </w:r>
      <w:proofErr w:type="spellStart"/>
      <w:r>
        <w:rPr>
          <w:rFonts w:ascii="Times New Roman" w:hAnsi="Times New Roman"/>
          <w:sz w:val="24"/>
          <w:szCs w:val="24"/>
        </w:rPr>
        <w:t>крохмальгліколят</w:t>
      </w:r>
      <w:proofErr w:type="spellEnd"/>
      <w:r>
        <w:rPr>
          <w:rFonts w:ascii="Times New Roman" w:hAnsi="Times New Roman"/>
          <w:sz w:val="24"/>
          <w:szCs w:val="24"/>
        </w:rPr>
        <w:t xml:space="preserve"> (тип А); </w:t>
      </w:r>
      <w:proofErr w:type="spellStart"/>
      <w:r>
        <w:rPr>
          <w:rFonts w:ascii="Times New Roman" w:hAnsi="Times New Roman"/>
          <w:sz w:val="24"/>
          <w:szCs w:val="24"/>
        </w:rPr>
        <w:t>повідон</w:t>
      </w:r>
      <w:proofErr w:type="spellEnd"/>
      <w:r>
        <w:rPr>
          <w:rFonts w:ascii="Times New Roman" w:hAnsi="Times New Roman"/>
          <w:sz w:val="24"/>
          <w:szCs w:val="24"/>
        </w:rPr>
        <w:t xml:space="preserve"> К30; натрію </w:t>
      </w:r>
      <w:proofErr w:type="spellStart"/>
      <w:r>
        <w:rPr>
          <w:rFonts w:ascii="Times New Roman" w:hAnsi="Times New Roman"/>
          <w:sz w:val="24"/>
          <w:szCs w:val="24"/>
        </w:rPr>
        <w:t>лаурилсульфат</w:t>
      </w:r>
      <w:proofErr w:type="spellEnd"/>
      <w:r>
        <w:rPr>
          <w:rFonts w:ascii="Times New Roman" w:hAnsi="Times New Roman"/>
          <w:sz w:val="24"/>
          <w:szCs w:val="24"/>
        </w:rPr>
        <w:t xml:space="preserve">; </w:t>
      </w:r>
      <w:proofErr w:type="spellStart"/>
      <w:r>
        <w:rPr>
          <w:rFonts w:ascii="Times New Roman" w:hAnsi="Times New Roman"/>
          <w:sz w:val="24"/>
          <w:szCs w:val="24"/>
        </w:rPr>
        <w:t>гідроксипропілцелюлоза</w:t>
      </w:r>
      <w:proofErr w:type="spellEnd"/>
      <w:r>
        <w:rPr>
          <w:rFonts w:ascii="Times New Roman" w:hAnsi="Times New Roman"/>
          <w:sz w:val="24"/>
          <w:szCs w:val="24"/>
        </w:rPr>
        <w:t xml:space="preserve"> </w:t>
      </w:r>
      <w:proofErr w:type="spellStart"/>
      <w:r>
        <w:rPr>
          <w:rFonts w:ascii="Times New Roman" w:hAnsi="Times New Roman"/>
          <w:sz w:val="24"/>
          <w:szCs w:val="24"/>
        </w:rPr>
        <w:t>низькозаміщена</w:t>
      </w:r>
      <w:proofErr w:type="spellEnd"/>
      <w:r>
        <w:rPr>
          <w:rFonts w:ascii="Times New Roman" w:hAnsi="Times New Roman"/>
          <w:sz w:val="24"/>
          <w:szCs w:val="24"/>
        </w:rPr>
        <w:t xml:space="preserve">; магнію </w:t>
      </w:r>
      <w:proofErr w:type="spellStart"/>
      <w:r>
        <w:rPr>
          <w:rFonts w:ascii="Times New Roman" w:hAnsi="Times New Roman"/>
          <w:sz w:val="24"/>
          <w:szCs w:val="24"/>
        </w:rPr>
        <w:t>алюмінометасилікат</w:t>
      </w:r>
      <w:proofErr w:type="spellEnd"/>
      <w:r>
        <w:rPr>
          <w:rFonts w:ascii="Times New Roman" w:hAnsi="Times New Roman"/>
          <w:sz w:val="24"/>
          <w:szCs w:val="24"/>
        </w:rPr>
        <w:t xml:space="preserve"> (тип А); магнію </w:t>
      </w:r>
      <w:proofErr w:type="spellStart"/>
      <w:r>
        <w:rPr>
          <w:rFonts w:ascii="Times New Roman" w:hAnsi="Times New Roman"/>
          <w:sz w:val="24"/>
          <w:szCs w:val="24"/>
        </w:rPr>
        <w:t>стеарат</w:t>
      </w:r>
      <w:proofErr w:type="spellEnd"/>
      <w:r>
        <w:rPr>
          <w:rFonts w:ascii="Times New Roman" w:hAnsi="Times New Roman"/>
          <w:sz w:val="24"/>
          <w:szCs w:val="24"/>
        </w:rPr>
        <w:t>; плівкова оболонка (</w:t>
      </w:r>
      <w:proofErr w:type="spellStart"/>
      <w:r>
        <w:rPr>
          <w:rFonts w:ascii="Times New Roman" w:hAnsi="Times New Roman"/>
          <w:sz w:val="24"/>
          <w:szCs w:val="24"/>
        </w:rPr>
        <w:t>Opadry</w:t>
      </w:r>
      <w:proofErr w:type="spellEnd"/>
      <w:r>
        <w:rPr>
          <w:rFonts w:ascii="Times New Roman" w:hAnsi="Times New Roman"/>
          <w:sz w:val="24"/>
          <w:szCs w:val="24"/>
        </w:rPr>
        <w:t xml:space="preserve"> AMB II 88A505030:</w:t>
      </w:r>
      <w:r>
        <w:rPr>
          <w:rFonts w:ascii="Times New Roman" w:hAnsi="Times New Roman"/>
          <w:b/>
          <w:i/>
          <w:sz w:val="24"/>
          <w:szCs w:val="24"/>
        </w:rPr>
        <w:t xml:space="preserve"> </w:t>
      </w:r>
      <w:r>
        <w:rPr>
          <w:rFonts w:ascii="Times New Roman" w:hAnsi="Times New Roman"/>
          <w:sz w:val="24"/>
          <w:szCs w:val="24"/>
        </w:rPr>
        <w:t xml:space="preserve">спирт </w:t>
      </w:r>
      <w:proofErr w:type="spellStart"/>
      <w:r>
        <w:rPr>
          <w:rFonts w:ascii="Times New Roman" w:hAnsi="Times New Roman"/>
          <w:sz w:val="24"/>
          <w:szCs w:val="24"/>
        </w:rPr>
        <w:t>полівініловий</w:t>
      </w:r>
      <w:proofErr w:type="spellEnd"/>
      <w:r>
        <w:rPr>
          <w:rFonts w:ascii="Times New Roman" w:hAnsi="Times New Roman"/>
          <w:sz w:val="24"/>
          <w:szCs w:val="24"/>
        </w:rPr>
        <w:t xml:space="preserve">, тальк, титану </w:t>
      </w:r>
      <w:proofErr w:type="spellStart"/>
      <w:r>
        <w:rPr>
          <w:rFonts w:ascii="Times New Roman" w:hAnsi="Times New Roman"/>
          <w:sz w:val="24"/>
          <w:szCs w:val="24"/>
        </w:rPr>
        <w:t>діоксид</w:t>
      </w:r>
      <w:proofErr w:type="spellEnd"/>
      <w:r>
        <w:rPr>
          <w:rFonts w:ascii="Times New Roman" w:hAnsi="Times New Roman"/>
          <w:sz w:val="24"/>
          <w:szCs w:val="24"/>
        </w:rPr>
        <w:t xml:space="preserve"> (Е 171), алюмінієвий лак з індигокарміном (Е 132), гліцерин </w:t>
      </w:r>
      <w:proofErr w:type="spellStart"/>
      <w:r>
        <w:rPr>
          <w:rFonts w:ascii="Times New Roman" w:hAnsi="Times New Roman"/>
          <w:sz w:val="24"/>
          <w:szCs w:val="24"/>
        </w:rPr>
        <w:t>монокаприлокапрат</w:t>
      </w:r>
      <w:proofErr w:type="spellEnd"/>
      <w:r>
        <w:rPr>
          <w:rFonts w:ascii="Times New Roman" w:hAnsi="Times New Roman"/>
          <w:sz w:val="24"/>
          <w:szCs w:val="24"/>
        </w:rPr>
        <w:t xml:space="preserve">, натрію </w:t>
      </w:r>
      <w:proofErr w:type="spellStart"/>
      <w:r>
        <w:rPr>
          <w:rFonts w:ascii="Times New Roman" w:hAnsi="Times New Roman"/>
          <w:sz w:val="24"/>
          <w:szCs w:val="24"/>
        </w:rPr>
        <w:t>лаурилсульфат</w:t>
      </w:r>
      <w:proofErr w:type="spellEnd"/>
      <w:r>
        <w:rPr>
          <w:rFonts w:ascii="Times New Roman" w:hAnsi="Times New Roman"/>
          <w:sz w:val="24"/>
          <w:szCs w:val="24"/>
        </w:rPr>
        <w:t>, алюмінієвий лак з діамантовим синім FCF (Е 133)).</w:t>
      </w:r>
    </w:p>
    <w:p w:rsidR="00A83EAF" w:rsidRDefault="00A83EAF" w:rsidP="00A83EAF">
      <w:pPr>
        <w:spacing w:after="0" w:line="240" w:lineRule="auto"/>
        <w:jc w:val="both"/>
        <w:rPr>
          <w:rFonts w:ascii="Times New Roman" w:hAnsi="Times New Roman"/>
          <w:b/>
          <w:sz w:val="24"/>
          <w:szCs w:val="24"/>
        </w:rPr>
      </w:pPr>
    </w:p>
    <w:p w:rsidR="00A83EAF" w:rsidRDefault="00A83EAF" w:rsidP="00A83EAF">
      <w:pPr>
        <w:spacing w:after="0" w:line="240" w:lineRule="auto"/>
        <w:jc w:val="both"/>
        <w:rPr>
          <w:rFonts w:ascii="Times New Roman" w:hAnsi="Times New Roman"/>
          <w:sz w:val="24"/>
          <w:szCs w:val="24"/>
        </w:rPr>
      </w:pPr>
      <w:r>
        <w:rPr>
          <w:rFonts w:ascii="Times New Roman" w:hAnsi="Times New Roman"/>
          <w:b/>
          <w:sz w:val="24"/>
          <w:szCs w:val="24"/>
        </w:rPr>
        <w:t>Лікарська форма.</w:t>
      </w:r>
      <w:r>
        <w:rPr>
          <w:rFonts w:ascii="Times New Roman" w:hAnsi="Times New Roman"/>
          <w:sz w:val="24"/>
          <w:szCs w:val="24"/>
        </w:rPr>
        <w:t xml:space="preserve"> Таблетки, вкриті плівковою оболонкою.</w:t>
      </w:r>
    </w:p>
    <w:p w:rsidR="00A83EAF" w:rsidRDefault="00A83EAF" w:rsidP="00A83EAF">
      <w:pPr>
        <w:pStyle w:val="a4"/>
        <w:spacing w:after="0"/>
        <w:ind w:left="0"/>
        <w:jc w:val="both"/>
        <w:rPr>
          <w:lang w:eastAsia="en-US"/>
        </w:rPr>
      </w:pPr>
      <w:r>
        <w:t>Основні фізико-хімічні властивості:</w:t>
      </w:r>
      <w:r>
        <w:rPr>
          <w:i/>
        </w:rPr>
        <w:t xml:space="preserve"> </w:t>
      </w:r>
      <w:bookmarkStart w:id="0" w:name="_Hlk43735278"/>
      <w:r>
        <w:t>овальні таблетки блакитного кольору, з тисненням «В7Е» з одного боку.</w:t>
      </w:r>
    </w:p>
    <w:bookmarkEnd w:id="0"/>
    <w:p w:rsidR="00A83EAF" w:rsidRDefault="00A83EAF" w:rsidP="00A83EAF">
      <w:pPr>
        <w:pStyle w:val="a4"/>
        <w:spacing w:after="0"/>
        <w:ind w:left="0"/>
        <w:jc w:val="both"/>
        <w:rPr>
          <w:rFonts w:eastAsia="Calibri"/>
          <w:i/>
          <w:lang w:eastAsia="en-US"/>
        </w:rPr>
      </w:pPr>
    </w:p>
    <w:p w:rsidR="00A83EAF" w:rsidRDefault="00A83EAF" w:rsidP="00A83EAF">
      <w:pPr>
        <w:spacing w:after="0" w:line="240" w:lineRule="auto"/>
        <w:jc w:val="both"/>
        <w:rPr>
          <w:rFonts w:ascii="Times New Roman" w:hAnsi="Times New Roman"/>
          <w:b/>
          <w:sz w:val="24"/>
          <w:szCs w:val="24"/>
        </w:rPr>
      </w:pPr>
      <w:proofErr w:type="spellStart"/>
      <w:r>
        <w:rPr>
          <w:rFonts w:ascii="Times New Roman" w:hAnsi="Times New Roman"/>
          <w:b/>
          <w:sz w:val="24"/>
          <w:szCs w:val="24"/>
        </w:rPr>
        <w:t>Фармакотерапевтична</w:t>
      </w:r>
      <w:proofErr w:type="spellEnd"/>
      <w:r>
        <w:rPr>
          <w:rFonts w:ascii="Times New Roman" w:hAnsi="Times New Roman"/>
          <w:b/>
          <w:sz w:val="24"/>
          <w:szCs w:val="24"/>
        </w:rPr>
        <w:t xml:space="preserve"> група</w:t>
      </w:r>
    </w:p>
    <w:p w:rsidR="00A83EAF" w:rsidRDefault="00A83EAF" w:rsidP="00A83EAF">
      <w:pPr>
        <w:spacing w:after="0" w:line="240" w:lineRule="auto"/>
        <w:jc w:val="both"/>
        <w:rPr>
          <w:rFonts w:ascii="Times New Roman" w:hAnsi="Times New Roman"/>
          <w:sz w:val="24"/>
          <w:szCs w:val="24"/>
        </w:rPr>
      </w:pPr>
      <w:r>
        <w:rPr>
          <w:rFonts w:ascii="Times New Roman" w:hAnsi="Times New Roman"/>
          <w:sz w:val="24"/>
          <w:szCs w:val="24"/>
        </w:rPr>
        <w:t xml:space="preserve">Засоби, що впливають на серцево-судинну систему. Комбіновані </w:t>
      </w:r>
      <w:proofErr w:type="spellStart"/>
      <w:r>
        <w:rPr>
          <w:rFonts w:ascii="Times New Roman" w:hAnsi="Times New Roman"/>
          <w:sz w:val="24"/>
          <w:szCs w:val="24"/>
        </w:rPr>
        <w:t>гіполіпідемічні</w:t>
      </w:r>
      <w:proofErr w:type="spellEnd"/>
      <w:r>
        <w:rPr>
          <w:rFonts w:ascii="Times New Roman" w:hAnsi="Times New Roman"/>
          <w:sz w:val="24"/>
          <w:szCs w:val="24"/>
        </w:rPr>
        <w:t xml:space="preserve"> засоби. </w:t>
      </w:r>
      <w:proofErr w:type="spellStart"/>
      <w:r>
        <w:rPr>
          <w:rFonts w:ascii="Times New Roman" w:hAnsi="Times New Roman"/>
          <w:sz w:val="24"/>
          <w:szCs w:val="24"/>
        </w:rPr>
        <w:t>Бемпедоєва</w:t>
      </w:r>
      <w:proofErr w:type="spellEnd"/>
      <w:r>
        <w:rPr>
          <w:rFonts w:ascii="Times New Roman" w:hAnsi="Times New Roman"/>
          <w:sz w:val="24"/>
          <w:szCs w:val="24"/>
        </w:rPr>
        <w:t xml:space="preserve"> кислота та </w:t>
      </w:r>
      <w:proofErr w:type="spellStart"/>
      <w:r>
        <w:rPr>
          <w:rFonts w:ascii="Times New Roman" w:hAnsi="Times New Roman"/>
          <w:sz w:val="24"/>
          <w:szCs w:val="24"/>
        </w:rPr>
        <w:t>езетиміб</w:t>
      </w:r>
      <w:proofErr w:type="spellEnd"/>
      <w:r>
        <w:rPr>
          <w:rFonts w:ascii="Times New Roman" w:hAnsi="Times New Roman"/>
          <w:sz w:val="24"/>
          <w:szCs w:val="24"/>
        </w:rPr>
        <w:t>. Код АТХ C10B A10.</w:t>
      </w:r>
    </w:p>
    <w:p w:rsidR="00A83EAF" w:rsidRDefault="00A83EAF" w:rsidP="00A83EAF">
      <w:pPr>
        <w:spacing w:after="0" w:line="240" w:lineRule="auto"/>
        <w:jc w:val="both"/>
        <w:rPr>
          <w:rFonts w:ascii="Times New Roman" w:hAnsi="Times New Roman"/>
          <w:sz w:val="24"/>
          <w:szCs w:val="24"/>
        </w:rPr>
      </w:pPr>
    </w:p>
    <w:p w:rsidR="00A83EAF" w:rsidRDefault="00A83EAF" w:rsidP="00A83EAF">
      <w:pPr>
        <w:spacing w:after="0" w:line="240" w:lineRule="auto"/>
        <w:rPr>
          <w:rFonts w:ascii="Times New Roman" w:hAnsi="Times New Roman"/>
          <w:b/>
          <w:i/>
          <w:sz w:val="24"/>
          <w:szCs w:val="28"/>
        </w:rPr>
      </w:pPr>
      <w:r>
        <w:rPr>
          <w:rFonts w:ascii="Times New Roman" w:hAnsi="Times New Roman"/>
          <w:b/>
          <w:i/>
          <w:sz w:val="24"/>
          <w:szCs w:val="28"/>
        </w:rPr>
        <w:t>Фармакологічні властивості</w:t>
      </w:r>
    </w:p>
    <w:p w:rsidR="00A83EAF" w:rsidRDefault="00A83EAF" w:rsidP="00A83EAF">
      <w:pPr>
        <w:widowControl w:val="0"/>
        <w:snapToGrid w:val="0"/>
        <w:spacing w:after="0" w:line="240" w:lineRule="auto"/>
        <w:jc w:val="both"/>
        <w:rPr>
          <w:rFonts w:ascii="Times New Roman" w:hAnsi="Times New Roman"/>
          <w:sz w:val="24"/>
          <w:szCs w:val="20"/>
        </w:rPr>
      </w:pPr>
      <w:proofErr w:type="spellStart"/>
      <w:r>
        <w:rPr>
          <w:rFonts w:ascii="Times New Roman" w:hAnsi="Times New Roman"/>
          <w:sz w:val="24"/>
          <w:szCs w:val="20"/>
        </w:rPr>
        <w:t>Фармакодинаміка</w:t>
      </w:r>
      <w:proofErr w:type="spellEnd"/>
    </w:p>
    <w:p w:rsidR="00A83EAF" w:rsidRDefault="00A83EAF" w:rsidP="00A83EAF">
      <w:pPr>
        <w:shd w:val="clear" w:color="auto" w:fill="FFFFFF"/>
        <w:spacing w:after="0" w:line="240" w:lineRule="auto"/>
        <w:jc w:val="both"/>
        <w:rPr>
          <w:rFonts w:ascii="Times New Roman" w:hAnsi="Times New Roman"/>
          <w:i/>
          <w:sz w:val="24"/>
          <w:szCs w:val="24"/>
        </w:rPr>
      </w:pPr>
      <w:r>
        <w:rPr>
          <w:rFonts w:ascii="Times New Roman" w:hAnsi="Times New Roman"/>
          <w:i/>
          <w:sz w:val="24"/>
          <w:szCs w:val="24"/>
        </w:rPr>
        <w:t>Механізм дії</w:t>
      </w:r>
    </w:p>
    <w:p w:rsidR="00A83EAF" w:rsidRDefault="00A83EAF" w:rsidP="00A83EAF">
      <w:pPr>
        <w:pStyle w:val="a4"/>
        <w:shd w:val="clear" w:color="auto" w:fill="FFFFFF"/>
        <w:spacing w:after="0"/>
        <w:ind w:left="0"/>
        <w:jc w:val="both"/>
      </w:pPr>
      <w:r>
        <w:t xml:space="preserve">Лікарський засіб містить </w:t>
      </w:r>
      <w:proofErr w:type="spellStart"/>
      <w:r>
        <w:t>бемпедоєву</w:t>
      </w:r>
      <w:proofErr w:type="spellEnd"/>
      <w:r>
        <w:t xml:space="preserve"> кислоту та </w:t>
      </w:r>
      <w:proofErr w:type="spellStart"/>
      <w:r>
        <w:t>езетиміб</w:t>
      </w:r>
      <w:proofErr w:type="spellEnd"/>
      <w:r>
        <w:t>, дві сполуки, що знижують рівень холестерину ЛПНЩ, з додатковими механізмами дії. Він знижує підвищений рівень холестерину ЛПНЩ шляхом подвійного пригнічення синтезу холестерину в печінці та всмоктування холестерину в кишечнику.</w:t>
      </w:r>
    </w:p>
    <w:p w:rsidR="00A83EAF" w:rsidRDefault="00A83EAF" w:rsidP="00A83EAF">
      <w:pPr>
        <w:pStyle w:val="a4"/>
        <w:shd w:val="clear" w:color="auto" w:fill="FFFFFF"/>
        <w:spacing w:after="0"/>
        <w:ind w:left="0"/>
        <w:jc w:val="both"/>
      </w:pPr>
      <w:proofErr w:type="spellStart"/>
      <w:r>
        <w:rPr>
          <w:i/>
          <w:iCs/>
        </w:rPr>
        <w:t>Бемпедоєва</w:t>
      </w:r>
      <w:proofErr w:type="spellEnd"/>
      <w:r>
        <w:rPr>
          <w:i/>
          <w:iCs/>
        </w:rPr>
        <w:t xml:space="preserve"> кислота </w:t>
      </w:r>
      <w:r>
        <w:t xml:space="preserve">– це інгібітор </w:t>
      </w:r>
      <w:proofErr w:type="spellStart"/>
      <w:r>
        <w:t>аденозинтрифосфатцитратліази</w:t>
      </w:r>
      <w:proofErr w:type="spellEnd"/>
      <w:r>
        <w:t xml:space="preserve"> (ACL), який знижує рівень холестерину ЛПНЩ шляхом пригнічення синтезу холестерину в печінці. ACL – це фермент, який передує 3-гідрокси-3-метилглутарил-коензим А (</w:t>
      </w:r>
      <w:proofErr w:type="spellStart"/>
      <w:r>
        <w:t>ГМГ-КоА</w:t>
      </w:r>
      <w:proofErr w:type="spellEnd"/>
      <w:r>
        <w:t xml:space="preserve">) </w:t>
      </w:r>
      <w:proofErr w:type="spellStart"/>
      <w:r>
        <w:t>редуктазі</w:t>
      </w:r>
      <w:proofErr w:type="spellEnd"/>
      <w:r>
        <w:t xml:space="preserve"> в шляху біосинтезу холестерину. </w:t>
      </w:r>
      <w:proofErr w:type="spellStart"/>
      <w:r>
        <w:rPr>
          <w:bCs/>
        </w:rPr>
        <w:t>Бемпедоєва</w:t>
      </w:r>
      <w:proofErr w:type="spellEnd"/>
      <w:r>
        <w:rPr>
          <w:bCs/>
        </w:rPr>
        <w:t xml:space="preserve"> </w:t>
      </w:r>
      <w:r>
        <w:t xml:space="preserve">кислота вимагає активації </w:t>
      </w:r>
      <w:proofErr w:type="spellStart"/>
      <w:r>
        <w:t>коензиму</w:t>
      </w:r>
      <w:proofErr w:type="spellEnd"/>
      <w:r>
        <w:t xml:space="preserve"> А (</w:t>
      </w:r>
      <w:proofErr w:type="spellStart"/>
      <w:r>
        <w:t>CoA</w:t>
      </w:r>
      <w:proofErr w:type="spellEnd"/>
      <w:r>
        <w:t xml:space="preserve">) </w:t>
      </w:r>
      <w:proofErr w:type="spellStart"/>
      <w:r>
        <w:t>ацил-КоА-синтетазою</w:t>
      </w:r>
      <w:proofErr w:type="spellEnd"/>
      <w:r>
        <w:t xml:space="preserve"> 1 (ACSVL1) з дуже довгими ланцюгами до ETC-1002-CoA. ACSVL1 </w:t>
      </w:r>
      <w:proofErr w:type="spellStart"/>
      <w:r>
        <w:t>експресується</w:t>
      </w:r>
      <w:proofErr w:type="spellEnd"/>
      <w:r>
        <w:t xml:space="preserve"> переважно в печінці, а не в скелетних м’язах. Пригнічення ACL за допомогою ETC-1002-CoA призводить до зниження синтезу холестерину в печінці та знижує рівень холестерину ЛПНЩ у крові шляхом підвищення регуляції рецепторів </w:t>
      </w:r>
      <w:proofErr w:type="spellStart"/>
      <w:r>
        <w:t>ліпопротеїнів</w:t>
      </w:r>
      <w:proofErr w:type="spellEnd"/>
      <w:r>
        <w:t xml:space="preserve"> низької щільності. Крім того, пригнічення ACL за допомогою ETC-1002-CoA призводить до супутнього пригнічення біосинтезу жирних кислот у печінці.</w:t>
      </w:r>
      <w:r>
        <w:rPr>
          <w:lang w:val="ru-RU"/>
        </w:rPr>
        <w:t xml:space="preserve"> </w:t>
      </w:r>
      <w:proofErr w:type="spellStart"/>
      <w:r>
        <w:rPr>
          <w:i/>
          <w:iCs/>
        </w:rPr>
        <w:t>Езетиміб</w:t>
      </w:r>
      <w:proofErr w:type="spellEnd"/>
      <w:r>
        <w:t xml:space="preserve"> </w:t>
      </w:r>
      <w:r>
        <w:noBreakHyphen/>
        <w:t xml:space="preserve"> знижує рівень холестерину в крові, пригнічуючи його всмоктування тонким кишечником. Молекулярною мішенню </w:t>
      </w:r>
      <w:proofErr w:type="spellStart"/>
      <w:r>
        <w:t>езетимібу</w:t>
      </w:r>
      <w:proofErr w:type="spellEnd"/>
      <w:r>
        <w:t xml:space="preserve"> є транспортер стеролів, </w:t>
      </w:r>
      <w:proofErr w:type="spellStart"/>
      <w:r>
        <w:t>Німанна-Піка</w:t>
      </w:r>
      <w:proofErr w:type="spellEnd"/>
      <w:r>
        <w:t xml:space="preserve"> C1-подібний 1 (NPC1L1), який бере участь у кишковому поглинанні холестерину та </w:t>
      </w:r>
      <w:proofErr w:type="spellStart"/>
      <w:r>
        <w:t>фітостеролів</w:t>
      </w:r>
      <w:proofErr w:type="spellEnd"/>
      <w:r>
        <w:t xml:space="preserve">. </w:t>
      </w:r>
      <w:proofErr w:type="spellStart"/>
      <w:r>
        <w:t>Езетиміб</w:t>
      </w:r>
      <w:proofErr w:type="spellEnd"/>
      <w:r>
        <w:t xml:space="preserve"> локалізується на щітковій облямівці тонкого кишечнику та пригнічує всмоктування холестерину, що призводить до зменшення надходження кишкового холестерину до печінки.</w:t>
      </w:r>
    </w:p>
    <w:p w:rsidR="00A83EAF" w:rsidRDefault="00A83EAF" w:rsidP="00A83EAF">
      <w:pPr>
        <w:shd w:val="clear" w:color="auto" w:fill="FFFFFF"/>
        <w:spacing w:after="0" w:line="240" w:lineRule="auto"/>
        <w:jc w:val="both"/>
        <w:rPr>
          <w:rFonts w:ascii="Times New Roman" w:hAnsi="Times New Roman"/>
          <w:i/>
          <w:sz w:val="24"/>
          <w:szCs w:val="24"/>
        </w:rPr>
      </w:pPr>
      <w:proofErr w:type="spellStart"/>
      <w:r>
        <w:rPr>
          <w:rFonts w:ascii="Times New Roman" w:hAnsi="Times New Roman"/>
          <w:i/>
          <w:sz w:val="24"/>
          <w:szCs w:val="24"/>
        </w:rPr>
        <w:t>Фармакодинамічні</w:t>
      </w:r>
      <w:proofErr w:type="spellEnd"/>
      <w:r>
        <w:rPr>
          <w:rFonts w:ascii="Times New Roman" w:hAnsi="Times New Roman"/>
          <w:i/>
          <w:sz w:val="24"/>
          <w:szCs w:val="24"/>
        </w:rPr>
        <w:t xml:space="preserve"> ефекти</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lastRenderedPageBreak/>
        <w:t xml:space="preserve">Застосування </w:t>
      </w:r>
      <w:proofErr w:type="spellStart"/>
      <w:r>
        <w:rPr>
          <w:rFonts w:ascii="Times New Roman" w:hAnsi="Times New Roman"/>
          <w:bCs/>
          <w:sz w:val="24"/>
          <w:szCs w:val="24"/>
          <w:lang w:eastAsia="ru-RU"/>
        </w:rPr>
        <w:t>бемпедоєвої</w:t>
      </w:r>
      <w:proofErr w:type="spellEnd"/>
      <w:r>
        <w:rPr>
          <w:rFonts w:ascii="Times New Roman" w:hAnsi="Times New Roman"/>
          <w:bCs/>
          <w:sz w:val="24"/>
          <w:szCs w:val="24"/>
          <w:lang w:eastAsia="ru-RU"/>
        </w:rPr>
        <w:t xml:space="preserve"> </w:t>
      </w:r>
      <w:r>
        <w:rPr>
          <w:rFonts w:ascii="Times New Roman" w:hAnsi="Times New Roman"/>
          <w:sz w:val="24"/>
          <w:szCs w:val="24"/>
        </w:rPr>
        <w:t xml:space="preserve">кислоти та </w:t>
      </w:r>
      <w:proofErr w:type="spellStart"/>
      <w:r>
        <w:rPr>
          <w:rFonts w:ascii="Times New Roman" w:hAnsi="Times New Roman"/>
          <w:sz w:val="24"/>
          <w:szCs w:val="24"/>
        </w:rPr>
        <w:t>езетимібу</w:t>
      </w:r>
      <w:proofErr w:type="spellEnd"/>
      <w:r>
        <w:rPr>
          <w:rFonts w:ascii="Times New Roman" w:hAnsi="Times New Roman"/>
          <w:sz w:val="24"/>
          <w:szCs w:val="24"/>
        </w:rPr>
        <w:t xml:space="preserve"> окремо та в комбінації з іншими </w:t>
      </w:r>
      <w:proofErr w:type="spellStart"/>
      <w:r>
        <w:rPr>
          <w:rFonts w:ascii="Times New Roman" w:hAnsi="Times New Roman"/>
          <w:sz w:val="24"/>
          <w:szCs w:val="24"/>
        </w:rPr>
        <w:t>ліпідомодифікаційними</w:t>
      </w:r>
      <w:proofErr w:type="spellEnd"/>
      <w:r>
        <w:rPr>
          <w:rFonts w:ascii="Times New Roman" w:hAnsi="Times New Roman"/>
          <w:sz w:val="24"/>
          <w:szCs w:val="24"/>
        </w:rPr>
        <w:t xml:space="preserve"> лікарськими засобами знижує рівень ЛПНЩ, холестерину </w:t>
      </w:r>
      <w:proofErr w:type="spellStart"/>
      <w:r>
        <w:rPr>
          <w:rFonts w:ascii="Times New Roman" w:hAnsi="Times New Roman"/>
          <w:sz w:val="24"/>
          <w:szCs w:val="24"/>
        </w:rPr>
        <w:t>неліпопротеїнів</w:t>
      </w:r>
      <w:proofErr w:type="spellEnd"/>
      <w:r>
        <w:rPr>
          <w:rFonts w:ascii="Times New Roman" w:hAnsi="Times New Roman"/>
          <w:sz w:val="24"/>
          <w:szCs w:val="24"/>
        </w:rPr>
        <w:t xml:space="preserve"> високої щільності (</w:t>
      </w:r>
      <w:proofErr w:type="spellStart"/>
      <w:r>
        <w:rPr>
          <w:rFonts w:ascii="Times New Roman" w:hAnsi="Times New Roman"/>
          <w:sz w:val="24"/>
          <w:szCs w:val="24"/>
        </w:rPr>
        <w:t>не-ЛПВЩ</w:t>
      </w:r>
      <w:proofErr w:type="spellEnd"/>
      <w:r>
        <w:rPr>
          <w:rFonts w:ascii="Times New Roman" w:hAnsi="Times New Roman"/>
          <w:sz w:val="24"/>
          <w:szCs w:val="24"/>
        </w:rPr>
        <w:t xml:space="preserve">), </w:t>
      </w:r>
      <w:proofErr w:type="spellStart"/>
      <w:r>
        <w:rPr>
          <w:rFonts w:ascii="Times New Roman" w:hAnsi="Times New Roman"/>
          <w:sz w:val="24"/>
          <w:szCs w:val="24"/>
        </w:rPr>
        <w:t>аполіпопротеїну</w:t>
      </w:r>
      <w:proofErr w:type="spellEnd"/>
      <w:r>
        <w:rPr>
          <w:rFonts w:ascii="Times New Roman" w:hAnsi="Times New Roman"/>
          <w:sz w:val="24"/>
          <w:szCs w:val="24"/>
        </w:rPr>
        <w:t xml:space="preserve"> B (</w:t>
      </w:r>
      <w:proofErr w:type="spellStart"/>
      <w:r>
        <w:rPr>
          <w:rFonts w:ascii="Times New Roman" w:hAnsi="Times New Roman"/>
          <w:sz w:val="24"/>
          <w:szCs w:val="24"/>
        </w:rPr>
        <w:t>апо</w:t>
      </w:r>
      <w:proofErr w:type="spellEnd"/>
      <w:r>
        <w:rPr>
          <w:rFonts w:ascii="Times New Roman" w:hAnsi="Times New Roman"/>
          <w:sz w:val="24"/>
          <w:szCs w:val="24"/>
        </w:rPr>
        <w:t xml:space="preserve"> B), загального холестерину (ЗХ) та С-реактивного білка (СРБ) у пацієнтів з </w:t>
      </w:r>
      <w:proofErr w:type="spellStart"/>
      <w:r>
        <w:rPr>
          <w:rFonts w:ascii="Times New Roman" w:hAnsi="Times New Roman"/>
          <w:sz w:val="24"/>
          <w:szCs w:val="24"/>
        </w:rPr>
        <w:t>гіперхолестеринемією</w:t>
      </w:r>
      <w:proofErr w:type="spellEnd"/>
      <w:r>
        <w:rPr>
          <w:rFonts w:ascii="Times New Roman" w:hAnsi="Times New Roman"/>
          <w:sz w:val="24"/>
          <w:szCs w:val="24"/>
        </w:rPr>
        <w:t xml:space="preserve"> або змішаною </w:t>
      </w:r>
      <w:proofErr w:type="spellStart"/>
      <w:r>
        <w:rPr>
          <w:rFonts w:ascii="Times New Roman" w:hAnsi="Times New Roman"/>
          <w:sz w:val="24"/>
          <w:szCs w:val="24"/>
        </w:rPr>
        <w:t>дисліпідемією</w:t>
      </w:r>
      <w:proofErr w:type="spellEnd"/>
      <w:r>
        <w:rPr>
          <w:rFonts w:ascii="Times New Roman" w:hAnsi="Times New Roman"/>
          <w:sz w:val="24"/>
          <w:szCs w:val="24"/>
        </w:rPr>
        <w:t>.</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Оскільки пацієнти з діабетом мають підвищений ризик розвитку атеросклеротичних серцево-судинних захворювань, клінічні випробування </w:t>
      </w:r>
      <w:proofErr w:type="spellStart"/>
      <w:r>
        <w:rPr>
          <w:rFonts w:ascii="Times New Roman" w:hAnsi="Times New Roman"/>
          <w:bCs/>
          <w:sz w:val="24"/>
          <w:szCs w:val="24"/>
          <w:lang w:eastAsia="ru-RU"/>
        </w:rPr>
        <w:t>бемпедоєвої</w:t>
      </w:r>
      <w:proofErr w:type="spellEnd"/>
      <w:r>
        <w:rPr>
          <w:rFonts w:ascii="Times New Roman" w:hAnsi="Times New Roman"/>
          <w:bCs/>
          <w:sz w:val="24"/>
          <w:szCs w:val="24"/>
          <w:lang w:eastAsia="ru-RU"/>
        </w:rPr>
        <w:t xml:space="preserve"> </w:t>
      </w:r>
      <w:r>
        <w:rPr>
          <w:rFonts w:ascii="Times New Roman" w:hAnsi="Times New Roman"/>
          <w:sz w:val="24"/>
          <w:szCs w:val="24"/>
        </w:rPr>
        <w:t xml:space="preserve">кислоти включали пацієнтів з цукровим діабетом. Серед підгрупи пацієнтів з діабетом спостерігалися нижчі рівні гемоглобіну A1c (HbA1c) порівняно з плацебо (в середньому 0,2 %). У пацієнтів без діабету різниці в HbA1c між </w:t>
      </w:r>
      <w:proofErr w:type="spellStart"/>
      <w:r>
        <w:rPr>
          <w:rFonts w:ascii="Times New Roman" w:hAnsi="Times New Roman"/>
          <w:sz w:val="24"/>
          <w:szCs w:val="24"/>
        </w:rPr>
        <w:t>бемпедоєвою</w:t>
      </w:r>
      <w:proofErr w:type="spellEnd"/>
      <w:r>
        <w:rPr>
          <w:rFonts w:ascii="Times New Roman" w:hAnsi="Times New Roman"/>
          <w:sz w:val="24"/>
          <w:szCs w:val="24"/>
        </w:rPr>
        <w:t xml:space="preserve"> кислотою та плацебо не спостерігалося, а також не було різниці в частоті гіпоглікемії.</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i/>
          <w:iCs/>
          <w:sz w:val="24"/>
          <w:szCs w:val="24"/>
        </w:rPr>
        <w:t>Електрофізіологія серця</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У дозі 240 мг (в 1,3 </w:t>
      </w:r>
      <w:proofErr w:type="spellStart"/>
      <w:r>
        <w:rPr>
          <w:rFonts w:ascii="Times New Roman" w:hAnsi="Times New Roman"/>
          <w:sz w:val="24"/>
          <w:szCs w:val="24"/>
        </w:rPr>
        <w:t>раза</w:t>
      </w:r>
      <w:proofErr w:type="spellEnd"/>
      <w:r>
        <w:rPr>
          <w:rFonts w:ascii="Times New Roman" w:hAnsi="Times New Roman"/>
          <w:sz w:val="24"/>
          <w:szCs w:val="24"/>
        </w:rPr>
        <w:t xml:space="preserve"> перевищує затверджену рекомендовану дозу) </w:t>
      </w:r>
      <w:proofErr w:type="spellStart"/>
      <w:r>
        <w:rPr>
          <w:rFonts w:ascii="Times New Roman" w:hAnsi="Times New Roman"/>
          <w:bCs/>
          <w:sz w:val="24"/>
          <w:szCs w:val="24"/>
          <w:lang w:eastAsia="ru-RU"/>
        </w:rPr>
        <w:t>бемпедоєва</w:t>
      </w:r>
      <w:proofErr w:type="spellEnd"/>
      <w:r>
        <w:rPr>
          <w:rFonts w:ascii="Times New Roman" w:hAnsi="Times New Roman"/>
          <w:bCs/>
          <w:sz w:val="24"/>
          <w:szCs w:val="24"/>
          <w:lang w:eastAsia="ru-RU"/>
        </w:rPr>
        <w:t xml:space="preserve"> </w:t>
      </w:r>
      <w:r>
        <w:rPr>
          <w:rFonts w:ascii="Times New Roman" w:hAnsi="Times New Roman"/>
          <w:sz w:val="24"/>
          <w:szCs w:val="24"/>
        </w:rPr>
        <w:t>кислота не подовжує інтервал QT клінічно значущою мірою.</w:t>
      </w:r>
    </w:p>
    <w:p w:rsidR="00A83EAF" w:rsidRDefault="00A83EAF" w:rsidP="00A83EAF">
      <w:pPr>
        <w:pStyle w:val="a4"/>
        <w:shd w:val="clear" w:color="auto" w:fill="FFFFFF"/>
        <w:spacing w:after="0"/>
        <w:ind w:left="0"/>
        <w:jc w:val="both"/>
      </w:pPr>
      <w:r>
        <w:t xml:space="preserve">Вплив </w:t>
      </w:r>
      <w:proofErr w:type="spellStart"/>
      <w:r>
        <w:t>езетимібу</w:t>
      </w:r>
      <w:proofErr w:type="spellEnd"/>
      <w:r>
        <w:t xml:space="preserve"> або комбінованого режиму лікування </w:t>
      </w:r>
      <w:proofErr w:type="spellStart"/>
      <w:r>
        <w:t>бемпедоєвою</w:t>
      </w:r>
      <w:proofErr w:type="spellEnd"/>
      <w:r>
        <w:t xml:space="preserve"> кислотою / </w:t>
      </w:r>
      <w:proofErr w:type="spellStart"/>
      <w:r>
        <w:t>езетимібом</w:t>
      </w:r>
      <w:proofErr w:type="spellEnd"/>
      <w:r>
        <w:t xml:space="preserve"> на інтервал QT не оцінювався.</w:t>
      </w:r>
    </w:p>
    <w:p w:rsidR="00A83EAF" w:rsidRDefault="00A83EAF" w:rsidP="00A83EAF">
      <w:pPr>
        <w:shd w:val="clear" w:color="auto" w:fill="FFFFFF"/>
        <w:spacing w:after="0" w:line="240" w:lineRule="auto"/>
        <w:jc w:val="both"/>
        <w:rPr>
          <w:rFonts w:ascii="Times New Roman" w:hAnsi="Times New Roman"/>
          <w:sz w:val="24"/>
          <w:szCs w:val="24"/>
          <w:u w:val="single"/>
        </w:rPr>
      </w:pPr>
      <w:r>
        <w:rPr>
          <w:rFonts w:ascii="Times New Roman" w:hAnsi="Times New Roman"/>
          <w:sz w:val="24"/>
          <w:szCs w:val="24"/>
          <w:u w:val="single"/>
        </w:rPr>
        <w:t>Клінічна ефективність та безпека</w:t>
      </w:r>
    </w:p>
    <w:p w:rsidR="00A83EAF" w:rsidRDefault="00A83EAF" w:rsidP="00A83EAF">
      <w:pPr>
        <w:pStyle w:val="a4"/>
        <w:shd w:val="clear" w:color="auto" w:fill="FFFFFF"/>
        <w:spacing w:after="0"/>
        <w:ind w:left="0"/>
        <w:jc w:val="both"/>
      </w:pPr>
      <w:r>
        <w:t xml:space="preserve">Було показано, що </w:t>
      </w:r>
      <w:proofErr w:type="spellStart"/>
      <w:r>
        <w:t>езетиміб</w:t>
      </w:r>
      <w:proofErr w:type="spellEnd"/>
      <w:r>
        <w:t xml:space="preserve"> 10 мг знижує частоту серцево-судинних подій.</w:t>
      </w:r>
      <w:r>
        <w:rPr>
          <w:lang w:val="ru-RU"/>
        </w:rPr>
        <w:t xml:space="preserve"> </w:t>
      </w:r>
      <w:r>
        <w:rPr>
          <w:i/>
          <w:iCs/>
        </w:rPr>
        <w:t>Клінічна</w:t>
      </w:r>
      <w:r>
        <w:rPr>
          <w:i/>
          <w:iCs/>
          <w:lang w:val="en-US"/>
        </w:rPr>
        <w:t> </w:t>
      </w:r>
      <w:r>
        <w:rPr>
          <w:i/>
          <w:iCs/>
        </w:rPr>
        <w:t xml:space="preserve">ефективність та безпека при первинній </w:t>
      </w:r>
      <w:proofErr w:type="spellStart"/>
      <w:r>
        <w:rPr>
          <w:i/>
          <w:iCs/>
        </w:rPr>
        <w:t>гіперхолестеринемії</w:t>
      </w:r>
      <w:proofErr w:type="spellEnd"/>
      <w:r>
        <w:rPr>
          <w:i/>
          <w:iCs/>
        </w:rPr>
        <w:t xml:space="preserve"> та змішаній </w:t>
      </w:r>
      <w:proofErr w:type="spellStart"/>
      <w:r>
        <w:rPr>
          <w:i/>
          <w:iCs/>
        </w:rPr>
        <w:t>дисліпідемії</w:t>
      </w:r>
      <w:proofErr w:type="spellEnd"/>
    </w:p>
    <w:p w:rsidR="00A83EAF" w:rsidRDefault="00A83EAF" w:rsidP="00A83EAF">
      <w:pPr>
        <w:pStyle w:val="a4"/>
        <w:shd w:val="clear" w:color="auto" w:fill="FFFFFF"/>
        <w:spacing w:after="0"/>
        <w:ind w:left="0"/>
        <w:jc w:val="both"/>
      </w:pPr>
      <w:r>
        <w:t xml:space="preserve">Ефективність лікарського засобу оцінювали в аналізі чутливості з участю 301 пацієнта, які отримували лікування в дослідженні CLEAR </w:t>
      </w:r>
      <w:proofErr w:type="spellStart"/>
      <w:r>
        <w:t>Combo</w:t>
      </w:r>
      <w:proofErr w:type="spellEnd"/>
      <w:r>
        <w:t xml:space="preserve"> (дослідження 1002-053). Цей аналіз виключив усі дані з 3 центрів (81 пацієнт) через систематичне недотримання пацієнтами всіх 4 методів лікування. Дослідження було 4-груповим </w:t>
      </w:r>
      <w:proofErr w:type="spellStart"/>
      <w:r>
        <w:t>багатоцентровим</w:t>
      </w:r>
      <w:proofErr w:type="spellEnd"/>
      <w:r>
        <w:t xml:space="preserve"> </w:t>
      </w:r>
      <w:proofErr w:type="spellStart"/>
      <w:r>
        <w:t>рандомізованим</w:t>
      </w:r>
      <w:proofErr w:type="spellEnd"/>
      <w:r>
        <w:t xml:space="preserve"> подвійним сліпим паралельно-груповим 12-тижневим з участю пацієнтів з високим серцево-судинним ризиком та </w:t>
      </w:r>
      <w:proofErr w:type="spellStart"/>
      <w:r>
        <w:t>гіперліпідемією</w:t>
      </w:r>
      <w:proofErr w:type="spellEnd"/>
      <w:r>
        <w:t xml:space="preserve">. Пацієнти, </w:t>
      </w:r>
      <w:proofErr w:type="spellStart"/>
      <w:r>
        <w:t>рандомізовані</w:t>
      </w:r>
      <w:proofErr w:type="spellEnd"/>
      <w:r>
        <w:t xml:space="preserve"> у співвідношенні 2:2:2:1, отримували або лікарський засіб </w:t>
      </w:r>
      <w:proofErr w:type="spellStart"/>
      <w:r>
        <w:t>перорально</w:t>
      </w:r>
      <w:proofErr w:type="spellEnd"/>
      <w:r>
        <w:t xml:space="preserve"> в дозі 180 мг/10 </w:t>
      </w:r>
      <w:proofErr w:type="spellStart"/>
      <w:r>
        <w:t>мг</w:t>
      </w:r>
      <w:proofErr w:type="spellEnd"/>
      <w:r>
        <w:t xml:space="preserve"> на добу (n=86), </w:t>
      </w:r>
      <w:proofErr w:type="spellStart"/>
      <w:r>
        <w:t>бемпедоєву</w:t>
      </w:r>
      <w:proofErr w:type="spellEnd"/>
      <w:r>
        <w:t xml:space="preserve"> кислоту 180 мг на добу (n=88), </w:t>
      </w:r>
      <w:proofErr w:type="spellStart"/>
      <w:r>
        <w:t>езетиміб</w:t>
      </w:r>
      <w:proofErr w:type="spellEnd"/>
      <w:r>
        <w:t xml:space="preserve"> 10 мг на добу (n=86), або плацебо 1</w:t>
      </w:r>
      <w:r>
        <w:rPr>
          <w:lang w:val="en-US"/>
        </w:rPr>
        <w:t> </w:t>
      </w:r>
      <w:r>
        <w:t xml:space="preserve">раз на добу (n=41), як доповнення до максимально </w:t>
      </w:r>
      <w:proofErr w:type="spellStart"/>
      <w:r>
        <w:t>переносимої</w:t>
      </w:r>
      <w:proofErr w:type="spellEnd"/>
      <w:r>
        <w:t xml:space="preserve"> терапії </w:t>
      </w:r>
      <w:proofErr w:type="spellStart"/>
      <w:r>
        <w:t>статинами</w:t>
      </w:r>
      <w:proofErr w:type="spellEnd"/>
      <w:r>
        <w:t xml:space="preserve">. Максимально </w:t>
      </w:r>
      <w:proofErr w:type="spellStart"/>
      <w:r>
        <w:t>переносима</w:t>
      </w:r>
      <w:proofErr w:type="spellEnd"/>
      <w:r>
        <w:t xml:space="preserve"> терапія </w:t>
      </w:r>
      <w:proofErr w:type="spellStart"/>
      <w:r>
        <w:t>статинами</w:t>
      </w:r>
      <w:proofErr w:type="spellEnd"/>
      <w:r>
        <w:t xml:space="preserve"> могла включати режими прийому </w:t>
      </w:r>
      <w:proofErr w:type="spellStart"/>
      <w:r>
        <w:t>статинів</w:t>
      </w:r>
      <w:proofErr w:type="spellEnd"/>
      <w:r>
        <w:t xml:space="preserve">, відмінні від щоденного дозування, або відсутність </w:t>
      </w:r>
      <w:proofErr w:type="spellStart"/>
      <w:r>
        <w:t>статинів</w:t>
      </w:r>
      <w:proofErr w:type="spellEnd"/>
      <w:r>
        <w:t xml:space="preserve">. Пацієнти були стратифіковані за серцево-судинним ризиком та початковою інтенсивністю прийому </w:t>
      </w:r>
      <w:proofErr w:type="spellStart"/>
      <w:r>
        <w:t>статинів</w:t>
      </w:r>
      <w:proofErr w:type="spellEnd"/>
      <w:r>
        <w:t>. Пацієнти,</w:t>
      </w:r>
      <w:r>
        <w:rPr>
          <w:lang w:val="en-US"/>
        </w:rPr>
        <w:t> </w:t>
      </w:r>
      <w:r>
        <w:t xml:space="preserve">які приймали </w:t>
      </w:r>
      <w:proofErr w:type="spellStart"/>
      <w:r>
        <w:t>симвастатин</w:t>
      </w:r>
      <w:proofErr w:type="spellEnd"/>
      <w:r>
        <w:t xml:space="preserve"> у дозі 40 мг на добу або вище, були виключені з дослідження.</w:t>
      </w:r>
      <w:r>
        <w:rPr>
          <w:lang w:val="ru-RU"/>
        </w:rPr>
        <w:t xml:space="preserve"> </w:t>
      </w:r>
      <w:r>
        <w:t>Демографічні показники та характеристики захворювання на початку дослідження були збалансованими між групами лікування. Загалом середній вік на початку дослідження становив 64 роки (діапазон: від 30 до 87 років), 50 % були віком ≥65</w:t>
      </w:r>
      <w:r>
        <w:rPr>
          <w:lang w:val="en-US"/>
        </w:rPr>
        <w:t> </w:t>
      </w:r>
      <w:r>
        <w:t xml:space="preserve">років, 50 % були жінками, 81 % були білими, 17 % - чорношкірими, 1 % - азіатами та 1 % - іншими. На момент </w:t>
      </w:r>
      <w:proofErr w:type="spellStart"/>
      <w:r>
        <w:t>рандомізації</w:t>
      </w:r>
      <w:proofErr w:type="spellEnd"/>
      <w:r>
        <w:t xml:space="preserve"> 61 % пацієнтів, які отримували </w:t>
      </w:r>
      <w:proofErr w:type="spellStart"/>
      <w:r>
        <w:t>бемпедоєву</w:t>
      </w:r>
      <w:proofErr w:type="spellEnd"/>
      <w:r>
        <w:t xml:space="preserve"> кислоту / </w:t>
      </w:r>
      <w:proofErr w:type="spellStart"/>
      <w:r>
        <w:t>езетиміб</w:t>
      </w:r>
      <w:proofErr w:type="spellEnd"/>
      <w:r>
        <w:t xml:space="preserve">, 69 % пацієнтів, які отримували </w:t>
      </w:r>
      <w:proofErr w:type="spellStart"/>
      <w:r>
        <w:t>бемпедоєву</w:t>
      </w:r>
      <w:proofErr w:type="spellEnd"/>
      <w:r>
        <w:t xml:space="preserve"> кислоту, 63 % пацієнтів, які отримували </w:t>
      </w:r>
      <w:proofErr w:type="spellStart"/>
      <w:r>
        <w:t>езетиміб</w:t>
      </w:r>
      <w:proofErr w:type="spellEnd"/>
      <w:r>
        <w:t xml:space="preserve">, та 66 % пацієнтів, які отримували плацебо, отримували </w:t>
      </w:r>
      <w:proofErr w:type="spellStart"/>
      <w:r>
        <w:t>статинотерапію</w:t>
      </w:r>
      <w:proofErr w:type="spellEnd"/>
      <w:r>
        <w:t xml:space="preserve">; 36 % пацієнтів, які отримували </w:t>
      </w:r>
      <w:proofErr w:type="spellStart"/>
      <w:r>
        <w:t>бемпедоєву</w:t>
      </w:r>
      <w:proofErr w:type="spellEnd"/>
      <w:r>
        <w:t xml:space="preserve"> кислоту / </w:t>
      </w:r>
      <w:proofErr w:type="spellStart"/>
      <w:r>
        <w:t>езетиміб</w:t>
      </w:r>
      <w:proofErr w:type="spellEnd"/>
      <w:r>
        <w:t xml:space="preserve">, 35 % пацієнтів, які отримували </w:t>
      </w:r>
      <w:proofErr w:type="spellStart"/>
      <w:r>
        <w:t>бемпедоєву</w:t>
      </w:r>
      <w:proofErr w:type="spellEnd"/>
      <w:r>
        <w:t xml:space="preserve"> кислоту, 29 % пацієнтів, які отримували </w:t>
      </w:r>
      <w:proofErr w:type="spellStart"/>
      <w:r>
        <w:t>езетиміб</w:t>
      </w:r>
      <w:proofErr w:type="spellEnd"/>
      <w:r>
        <w:t xml:space="preserve">, та 41 % пацієнтів, які отримували плацебо, отримували </w:t>
      </w:r>
      <w:proofErr w:type="spellStart"/>
      <w:r>
        <w:t>високоінтенсивну</w:t>
      </w:r>
      <w:proofErr w:type="spellEnd"/>
      <w:r>
        <w:t xml:space="preserve"> </w:t>
      </w:r>
      <w:proofErr w:type="spellStart"/>
      <w:r>
        <w:t>статинотерапію</w:t>
      </w:r>
      <w:proofErr w:type="spellEnd"/>
      <w:r>
        <w:t xml:space="preserve">. Середній початковий рівень холестерину ЛПНЩ становив 3,9 </w:t>
      </w:r>
      <w:proofErr w:type="spellStart"/>
      <w:r>
        <w:t>ммоль</w:t>
      </w:r>
      <w:proofErr w:type="spellEnd"/>
      <w:r>
        <w:t>/л (149,7 мг/</w:t>
      </w:r>
      <w:proofErr w:type="spellStart"/>
      <w:r>
        <w:t>дл</w:t>
      </w:r>
      <w:proofErr w:type="spellEnd"/>
      <w:r>
        <w:t>). Більшість пацієнтів (94 %) завершили дослідження.</w:t>
      </w:r>
    </w:p>
    <w:p w:rsidR="00A83EAF" w:rsidRDefault="00A83EAF" w:rsidP="00A83EAF">
      <w:pPr>
        <w:pStyle w:val="a4"/>
        <w:shd w:val="clear" w:color="auto" w:fill="FFFFFF"/>
        <w:spacing w:after="0"/>
        <w:ind w:left="0"/>
        <w:jc w:val="both"/>
      </w:pPr>
      <w:r>
        <w:t xml:space="preserve">Лікарський засіб значно зменшив рівень ХС ЛПНЩ від початкового рівня до 12-го тижня порівняно з плацебо (-38 %; 95 % ДІ: -46,5 %, -29,6 %; p &lt;0,001). Максимальний ефект зниження ХС ЛПНЩ спостерігався вже на 4-му тижні, і ефективність зберігалася </w:t>
      </w:r>
      <w:r>
        <w:lastRenderedPageBreak/>
        <w:t xml:space="preserve">протягом усього дослідження. Лікарський засіб також значно зменшив рівень ХС, що не належить до ЛПВЩ, </w:t>
      </w:r>
      <w:proofErr w:type="spellStart"/>
      <w:r>
        <w:t>аполіполізу</w:t>
      </w:r>
      <w:proofErr w:type="spellEnd"/>
      <w:r>
        <w:t xml:space="preserve"> B та загального холестерину (див. Таблицю 1).</w:t>
      </w:r>
    </w:p>
    <w:p w:rsidR="00A83EAF" w:rsidRDefault="00A83EAF" w:rsidP="00A83EAF">
      <w:pPr>
        <w:pStyle w:val="a4"/>
        <w:shd w:val="clear" w:color="auto" w:fill="FFFFFF"/>
        <w:spacing w:after="0"/>
        <w:ind w:left="0"/>
        <w:jc w:val="right"/>
        <w:rPr>
          <w:bCs/>
        </w:rPr>
      </w:pPr>
      <w:r>
        <w:rPr>
          <w:bCs/>
        </w:rPr>
        <w:t>Таблиця 1</w:t>
      </w:r>
    </w:p>
    <w:p w:rsidR="00A83EAF" w:rsidRDefault="00A83EAF" w:rsidP="00A83EAF">
      <w:pPr>
        <w:pStyle w:val="a4"/>
        <w:shd w:val="clear" w:color="auto" w:fill="FFFFFF"/>
        <w:spacing w:after="0"/>
        <w:ind w:left="0"/>
        <w:jc w:val="center"/>
      </w:pPr>
      <w:r>
        <w:rPr>
          <w:bCs/>
        </w:rPr>
        <w:t xml:space="preserve"> Вплив застосування лікарського засобу на ліпідні параметри у пацієнтів з високим серцево-судинним ризиком та </w:t>
      </w:r>
      <w:proofErr w:type="spellStart"/>
      <w:r>
        <w:rPr>
          <w:bCs/>
        </w:rPr>
        <w:t>гіперліпідемією</w:t>
      </w:r>
      <w:proofErr w:type="spellEnd"/>
      <w:r>
        <w:rPr>
          <w:bCs/>
        </w:rPr>
        <w:t xml:space="preserve"> на фонових схемах лікування </w:t>
      </w:r>
      <w:proofErr w:type="spellStart"/>
      <w:r>
        <w:rPr>
          <w:bCs/>
        </w:rPr>
        <w:t>статинами</w:t>
      </w:r>
      <w:proofErr w:type="spellEnd"/>
      <w:r>
        <w:rPr>
          <w:bCs/>
        </w:rPr>
        <w:t xml:space="preserve"> (середня % зміна від початкового рівня до 12-го тижня)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2441"/>
        <w:gridCol w:w="1894"/>
        <w:gridCol w:w="1193"/>
        <w:gridCol w:w="1093"/>
      </w:tblGrid>
      <w:tr w:rsidR="00A83EAF" w:rsidTr="00641932">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spacing w:after="0" w:line="240" w:lineRule="auto"/>
              <w:rPr>
                <w:rFonts w:eastAsia="Calibri"/>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bCs/>
              </w:rPr>
              <w:t xml:space="preserve">Лікарський засіб 180 мг/10 </w:t>
            </w:r>
            <w:proofErr w:type="spellStart"/>
            <w:r>
              <w:rPr>
                <w:bCs/>
              </w:rPr>
              <w:t>мг</w:t>
            </w:r>
            <w:proofErr w:type="spellEnd"/>
          </w:p>
          <w:p w:rsidR="00A83EAF" w:rsidRDefault="00A83EAF" w:rsidP="00641932">
            <w:pPr>
              <w:pStyle w:val="a4"/>
              <w:spacing w:after="0"/>
              <w:ind w:left="0"/>
              <w:jc w:val="center"/>
            </w:pPr>
            <w:r>
              <w:rPr>
                <w:bCs/>
              </w:rPr>
              <w:t>n=86</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proofErr w:type="spellStart"/>
            <w:r>
              <w:rPr>
                <w:bCs/>
              </w:rPr>
              <w:t>Бемпедоєва</w:t>
            </w:r>
            <w:proofErr w:type="spellEnd"/>
            <w:r>
              <w:rPr>
                <w:bCs/>
              </w:rPr>
              <w:t xml:space="preserve"> кислота</w:t>
            </w:r>
          </w:p>
          <w:p w:rsidR="00A83EAF" w:rsidRDefault="00A83EAF" w:rsidP="00641932">
            <w:pPr>
              <w:pStyle w:val="a4"/>
              <w:spacing w:after="0"/>
              <w:ind w:left="0"/>
              <w:jc w:val="center"/>
            </w:pPr>
            <w:r>
              <w:rPr>
                <w:bCs/>
              </w:rPr>
              <w:t>180 мг n=88</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proofErr w:type="spellStart"/>
            <w:r>
              <w:rPr>
                <w:bCs/>
              </w:rPr>
              <w:t>Езетиміб</w:t>
            </w:r>
            <w:proofErr w:type="spellEnd"/>
          </w:p>
          <w:p w:rsidR="00A83EAF" w:rsidRDefault="00A83EAF" w:rsidP="00641932">
            <w:pPr>
              <w:pStyle w:val="a4"/>
              <w:spacing w:after="0"/>
              <w:ind w:left="0"/>
              <w:jc w:val="center"/>
            </w:pPr>
            <w:r>
              <w:rPr>
                <w:bCs/>
              </w:rPr>
              <w:t>10 мг</w:t>
            </w:r>
          </w:p>
          <w:p w:rsidR="00A83EAF" w:rsidRDefault="00A83EAF" w:rsidP="00641932">
            <w:pPr>
              <w:pStyle w:val="a4"/>
              <w:spacing w:after="0"/>
              <w:ind w:left="0"/>
              <w:jc w:val="center"/>
            </w:pPr>
            <w:r>
              <w:rPr>
                <w:bCs/>
              </w:rPr>
              <w:t>n=86</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bCs/>
              </w:rPr>
              <w:t>Плацебо</w:t>
            </w:r>
          </w:p>
          <w:p w:rsidR="00A83EAF" w:rsidRDefault="00A83EAF" w:rsidP="00641932">
            <w:pPr>
              <w:pStyle w:val="a4"/>
              <w:spacing w:after="0"/>
              <w:ind w:left="0"/>
              <w:jc w:val="center"/>
            </w:pPr>
            <w:r>
              <w:rPr>
                <w:bCs/>
              </w:rPr>
              <w:t>n=41</w:t>
            </w:r>
          </w:p>
        </w:tc>
      </w:tr>
      <w:tr w:rsidR="00A83EAF" w:rsidTr="00641932">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both"/>
            </w:pPr>
            <w:r>
              <w:t>ЛПНЩ, n</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86</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88</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86</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41</w:t>
            </w:r>
          </w:p>
        </w:tc>
      </w:tr>
      <w:tr w:rsidR="00A83EAF" w:rsidTr="00641932">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both"/>
            </w:pPr>
            <w:r>
              <w:t>Середнє значення за</w:t>
            </w:r>
          </w:p>
          <w:p w:rsidR="00A83EAF" w:rsidRDefault="00A83EAF" w:rsidP="00641932">
            <w:pPr>
              <w:pStyle w:val="a4"/>
              <w:spacing w:after="0"/>
              <w:ind w:left="0"/>
              <w:jc w:val="both"/>
            </w:pPr>
            <w:r>
              <w:t xml:space="preserve"> методом найменших</w:t>
            </w:r>
          </w:p>
          <w:p w:rsidR="00A83EAF" w:rsidRDefault="00A83EAF" w:rsidP="00641932">
            <w:pPr>
              <w:pStyle w:val="a4"/>
              <w:spacing w:after="0"/>
              <w:ind w:left="0"/>
              <w:jc w:val="both"/>
            </w:pPr>
            <w:r>
              <w:t xml:space="preserve"> квадратів (SE)</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-36,2 (2,6)</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-17,2 (2,5)</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-23,2 (2,2)</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1,8 (3,5)</w:t>
            </w:r>
          </w:p>
        </w:tc>
      </w:tr>
      <w:tr w:rsidR="00A83EAF" w:rsidTr="00641932">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both"/>
            </w:pPr>
            <w:proofErr w:type="spellStart"/>
            <w:r>
              <w:t>не-ЛПВЩ-ХС</w:t>
            </w:r>
            <w:proofErr w:type="spellEnd"/>
            <w:r>
              <w:t>, n</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86</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88</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86</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41</w:t>
            </w:r>
          </w:p>
        </w:tc>
      </w:tr>
      <w:tr w:rsidR="00A83EAF" w:rsidTr="00641932">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both"/>
            </w:pPr>
            <w:r>
              <w:t>Середнє значення за</w:t>
            </w:r>
          </w:p>
          <w:p w:rsidR="00A83EAF" w:rsidRDefault="00A83EAF" w:rsidP="00641932">
            <w:pPr>
              <w:pStyle w:val="a4"/>
              <w:spacing w:after="0"/>
              <w:ind w:left="0"/>
              <w:jc w:val="both"/>
            </w:pPr>
            <w:r>
              <w:t xml:space="preserve"> методом найменших</w:t>
            </w:r>
          </w:p>
          <w:p w:rsidR="00A83EAF" w:rsidRDefault="00A83EAF" w:rsidP="00641932">
            <w:pPr>
              <w:pStyle w:val="a4"/>
              <w:spacing w:after="0"/>
              <w:ind w:left="0"/>
              <w:jc w:val="both"/>
            </w:pPr>
            <w:r>
              <w:t xml:space="preserve"> квадратів (SE)</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-31,9 (2,2)</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-14,1 (2,2)</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-19,9 (2,1)</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1.8 (3.3)</w:t>
            </w:r>
          </w:p>
        </w:tc>
      </w:tr>
      <w:tr w:rsidR="00A83EAF" w:rsidTr="00641932">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both"/>
            </w:pPr>
            <w:proofErr w:type="spellStart"/>
            <w:r>
              <w:t>апо</w:t>
            </w:r>
            <w:proofErr w:type="spellEnd"/>
            <w:r>
              <w:t xml:space="preserve"> B, n</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82</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85</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84</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38</w:t>
            </w:r>
          </w:p>
        </w:tc>
      </w:tr>
      <w:tr w:rsidR="00A83EAF" w:rsidTr="00641932">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both"/>
            </w:pPr>
            <w:r>
              <w:t>Середнє значення за</w:t>
            </w:r>
          </w:p>
          <w:p w:rsidR="00A83EAF" w:rsidRDefault="00A83EAF" w:rsidP="00641932">
            <w:pPr>
              <w:pStyle w:val="a4"/>
              <w:spacing w:after="0"/>
              <w:ind w:left="0"/>
              <w:jc w:val="both"/>
            </w:pPr>
            <w:r>
              <w:t xml:space="preserve"> методом найменших</w:t>
            </w:r>
          </w:p>
          <w:p w:rsidR="00A83EAF" w:rsidRDefault="00A83EAF" w:rsidP="00641932">
            <w:pPr>
              <w:pStyle w:val="a4"/>
              <w:spacing w:after="0"/>
              <w:ind w:left="0"/>
              <w:jc w:val="both"/>
            </w:pPr>
            <w:r>
              <w:t xml:space="preserve"> квадратів (SE)</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-24,6 (2,4)</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-11,8 (2,2)</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-15,3 (2,0)</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5,5 (3,0)</w:t>
            </w:r>
          </w:p>
        </w:tc>
      </w:tr>
      <w:tr w:rsidR="00A83EAF" w:rsidTr="00641932">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both"/>
            </w:pPr>
            <w:r>
              <w:t>ТС, n</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86</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88</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86</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41</w:t>
            </w:r>
          </w:p>
        </w:tc>
      </w:tr>
      <w:tr w:rsidR="00A83EAF" w:rsidTr="00641932">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both"/>
            </w:pPr>
            <w:r>
              <w:t>Середнє значення за</w:t>
            </w:r>
          </w:p>
          <w:p w:rsidR="00A83EAF" w:rsidRDefault="00A83EAF" w:rsidP="00641932">
            <w:pPr>
              <w:pStyle w:val="a4"/>
              <w:spacing w:after="0"/>
              <w:ind w:left="0"/>
              <w:jc w:val="both"/>
            </w:pPr>
            <w:r>
              <w:t xml:space="preserve"> методом найменших квадратів (SE)</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-26,4 (1,9)</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-12,1 (1,8)</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-16,0 (1,6)</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0,7 (2,5)</w:t>
            </w:r>
          </w:p>
        </w:tc>
      </w:tr>
    </w:tbl>
    <w:p w:rsidR="00A83EAF" w:rsidRDefault="00A83EAF" w:rsidP="00A83EAF">
      <w:pPr>
        <w:pStyle w:val="a4"/>
        <w:shd w:val="clear" w:color="auto" w:fill="FFFFFF"/>
        <w:spacing w:after="0"/>
        <w:ind w:left="0"/>
        <w:jc w:val="both"/>
        <w:rPr>
          <w:sz w:val="22"/>
        </w:rPr>
      </w:pPr>
      <w:proofErr w:type="spellStart"/>
      <w:r>
        <w:t>апо</w:t>
      </w:r>
      <w:proofErr w:type="spellEnd"/>
      <w:r>
        <w:t xml:space="preserve"> B = </w:t>
      </w:r>
      <w:proofErr w:type="spellStart"/>
      <w:r>
        <w:t>аполіпопротеїн</w:t>
      </w:r>
      <w:proofErr w:type="spellEnd"/>
      <w:r>
        <w:t xml:space="preserve"> B; ДІ = довірчий інтервал; ХС ЛПВЩ = холестерин </w:t>
      </w:r>
      <w:proofErr w:type="spellStart"/>
      <w:r>
        <w:t>ліпопротеїнів</w:t>
      </w:r>
      <w:proofErr w:type="spellEnd"/>
      <w:r>
        <w:t xml:space="preserve"> високої щільності, ХС ЛПНЩ = холестерин </w:t>
      </w:r>
      <w:proofErr w:type="spellStart"/>
      <w:r>
        <w:t>ліпопротеїнів</w:t>
      </w:r>
      <w:proofErr w:type="spellEnd"/>
      <w:r>
        <w:t xml:space="preserve"> низької щільності; НС = метод найменших квадратів; ОК = загальний холестерин.</w:t>
      </w:r>
    </w:p>
    <w:p w:rsidR="00A83EAF" w:rsidRDefault="00A83EAF" w:rsidP="00A83EAF">
      <w:pPr>
        <w:pStyle w:val="a4"/>
        <w:shd w:val="clear" w:color="auto" w:fill="FFFFFF"/>
        <w:spacing w:after="0"/>
        <w:ind w:left="0"/>
        <w:jc w:val="both"/>
      </w:pPr>
      <w:r>
        <w:t xml:space="preserve">Фонові </w:t>
      </w:r>
      <w:proofErr w:type="spellStart"/>
      <w:r>
        <w:t>статини</w:t>
      </w:r>
      <w:proofErr w:type="spellEnd"/>
      <w:r>
        <w:t xml:space="preserve">: </w:t>
      </w:r>
      <w:proofErr w:type="spellStart"/>
      <w:r>
        <w:t>аторвастатин</w:t>
      </w:r>
      <w:proofErr w:type="spellEnd"/>
      <w:r>
        <w:t xml:space="preserve">, </w:t>
      </w:r>
      <w:proofErr w:type="spellStart"/>
      <w:r>
        <w:t>ловастатин</w:t>
      </w:r>
      <w:proofErr w:type="spellEnd"/>
      <w:r>
        <w:t xml:space="preserve">, </w:t>
      </w:r>
      <w:proofErr w:type="spellStart"/>
      <w:r>
        <w:t>пітавастатин</w:t>
      </w:r>
      <w:proofErr w:type="spellEnd"/>
      <w:r>
        <w:t xml:space="preserve">, </w:t>
      </w:r>
      <w:proofErr w:type="spellStart"/>
      <w:r>
        <w:t>правастатин</w:t>
      </w:r>
      <w:proofErr w:type="spellEnd"/>
      <w:r>
        <w:t xml:space="preserve">, </w:t>
      </w:r>
      <w:proofErr w:type="spellStart"/>
      <w:r>
        <w:t>розувастатин</w:t>
      </w:r>
      <w:proofErr w:type="spellEnd"/>
      <w:r>
        <w:t xml:space="preserve">, </w:t>
      </w:r>
      <w:proofErr w:type="spellStart"/>
      <w:r>
        <w:t>симвастатин</w:t>
      </w:r>
      <w:proofErr w:type="spellEnd"/>
      <w:r>
        <w:t>.</w:t>
      </w:r>
    </w:p>
    <w:p w:rsidR="00A83EAF" w:rsidRDefault="00A83EAF" w:rsidP="00A83EAF">
      <w:pPr>
        <w:pStyle w:val="a4"/>
        <w:shd w:val="clear" w:color="auto" w:fill="FFFFFF"/>
        <w:spacing w:after="0"/>
        <w:ind w:left="0"/>
        <w:jc w:val="both"/>
      </w:pPr>
      <w:r>
        <w:rPr>
          <w:i/>
          <w:iCs/>
        </w:rPr>
        <w:t xml:space="preserve">Призначення </w:t>
      </w:r>
      <w:proofErr w:type="spellStart"/>
      <w:r>
        <w:rPr>
          <w:i/>
          <w:iCs/>
        </w:rPr>
        <w:t>бемпедоєвої</w:t>
      </w:r>
      <w:proofErr w:type="spellEnd"/>
      <w:r>
        <w:rPr>
          <w:i/>
          <w:iCs/>
        </w:rPr>
        <w:t xml:space="preserve"> кислоти на тлі терапії </w:t>
      </w:r>
      <w:proofErr w:type="spellStart"/>
      <w:r>
        <w:rPr>
          <w:i/>
          <w:iCs/>
        </w:rPr>
        <w:t>езетимібом</w:t>
      </w:r>
      <w:proofErr w:type="spellEnd"/>
    </w:p>
    <w:p w:rsidR="00A83EAF" w:rsidRDefault="00A83EAF" w:rsidP="00A83EAF">
      <w:pPr>
        <w:pStyle w:val="a4"/>
        <w:shd w:val="clear" w:color="auto" w:fill="FFFFFF"/>
        <w:spacing w:after="0"/>
        <w:ind w:left="0"/>
        <w:jc w:val="both"/>
      </w:pPr>
      <w:r>
        <w:t xml:space="preserve">CLEAR </w:t>
      </w:r>
      <w:proofErr w:type="spellStart"/>
      <w:r>
        <w:t>Tranquility</w:t>
      </w:r>
      <w:proofErr w:type="spellEnd"/>
      <w:r>
        <w:t xml:space="preserve"> (дослідження 1002-048) було </w:t>
      </w:r>
      <w:proofErr w:type="spellStart"/>
      <w:r>
        <w:t>багатоцентровим</w:t>
      </w:r>
      <w:proofErr w:type="spellEnd"/>
      <w:r>
        <w:t xml:space="preserve"> </w:t>
      </w:r>
      <w:proofErr w:type="spellStart"/>
      <w:r>
        <w:t>рандомізованим</w:t>
      </w:r>
      <w:proofErr w:type="spellEnd"/>
      <w:r>
        <w:t xml:space="preserve"> подвійним сліпим плацебо-контрольованим 12-тижневим дослідженням первинної </w:t>
      </w:r>
      <w:proofErr w:type="spellStart"/>
      <w:r>
        <w:t>гіперліпідемії</w:t>
      </w:r>
      <w:proofErr w:type="spellEnd"/>
      <w:r>
        <w:t xml:space="preserve"> фази 3, яке оцінювало ефективність </w:t>
      </w:r>
      <w:proofErr w:type="spellStart"/>
      <w:r>
        <w:t>бемпедоєвої</w:t>
      </w:r>
      <w:proofErr w:type="spellEnd"/>
      <w:r>
        <w:t xml:space="preserve"> кислоти порівняно з плацебо у зниженні рівня ХС ЛПНЩ при додаванні до </w:t>
      </w:r>
      <w:proofErr w:type="spellStart"/>
      <w:r>
        <w:t>езетимібу</w:t>
      </w:r>
      <w:proofErr w:type="spellEnd"/>
      <w:r>
        <w:t xml:space="preserve"> у пацієнтів з підвищеним ХС ЛПНЩ, які мали в анамнезі непереносимість </w:t>
      </w:r>
      <w:proofErr w:type="spellStart"/>
      <w:r>
        <w:t>статинів</w:t>
      </w:r>
      <w:proofErr w:type="spellEnd"/>
      <w:r>
        <w:t xml:space="preserve"> і не могли переносити більше ніж найнижчу схвалену початкову дозу </w:t>
      </w:r>
      <w:proofErr w:type="spellStart"/>
      <w:r>
        <w:t>статину</w:t>
      </w:r>
      <w:proofErr w:type="spellEnd"/>
      <w:r>
        <w:t xml:space="preserve">. У дослідженні взяли участь 269 пацієнтів, </w:t>
      </w:r>
      <w:proofErr w:type="spellStart"/>
      <w:r>
        <w:t>рандомізованих</w:t>
      </w:r>
      <w:proofErr w:type="spellEnd"/>
      <w:r>
        <w:t xml:space="preserve"> у співвідношенні 2:1 для отримання </w:t>
      </w:r>
      <w:proofErr w:type="spellStart"/>
      <w:r>
        <w:t>бемпедоєвої</w:t>
      </w:r>
      <w:proofErr w:type="spellEnd"/>
      <w:r>
        <w:t xml:space="preserve"> кислоти (n=181) або плацебо (n=88) як доповнення до </w:t>
      </w:r>
      <w:proofErr w:type="spellStart"/>
      <w:r>
        <w:t>езетимібу</w:t>
      </w:r>
      <w:proofErr w:type="spellEnd"/>
      <w:r>
        <w:t xml:space="preserve"> 10 мг щодня протягом 12 тижнів. Загалом</w:t>
      </w:r>
      <w:r>
        <w:rPr>
          <w:lang w:val="en-US"/>
        </w:rPr>
        <w:t> </w:t>
      </w:r>
      <w:r>
        <w:t xml:space="preserve">середній вік на початку дослідження становив 64 роки (діапазон: від 30 до 86 років), 55 % були віком ≥65 років, 61 % були жінками, 89 % були білими, 8 % - чорношкірими, 2 % - азіатами та 1 % - іншими. Середній початковий рівень ХС ЛПНЩ становив 3,3 </w:t>
      </w:r>
      <w:proofErr w:type="spellStart"/>
      <w:r>
        <w:t>ммоль</w:t>
      </w:r>
      <w:proofErr w:type="spellEnd"/>
      <w:r>
        <w:t>/л (127,6 мг/</w:t>
      </w:r>
      <w:proofErr w:type="spellStart"/>
      <w:r>
        <w:t>дл</w:t>
      </w:r>
      <w:proofErr w:type="spellEnd"/>
      <w:r>
        <w:t xml:space="preserve">). На момент </w:t>
      </w:r>
      <w:proofErr w:type="spellStart"/>
      <w:r>
        <w:t>рандомізації</w:t>
      </w:r>
      <w:proofErr w:type="spellEnd"/>
      <w:r>
        <w:t xml:space="preserve"> 33 % пацієнтів, які отримували </w:t>
      </w:r>
      <w:proofErr w:type="spellStart"/>
      <w:r>
        <w:t>бемпедоєву</w:t>
      </w:r>
      <w:proofErr w:type="spellEnd"/>
      <w:r>
        <w:t xml:space="preserve"> кислоту, проти 28 % пацієнтів, які отримували плацебо, отримували </w:t>
      </w:r>
      <w:proofErr w:type="spellStart"/>
      <w:r>
        <w:t>статини</w:t>
      </w:r>
      <w:proofErr w:type="spellEnd"/>
      <w:r>
        <w:t xml:space="preserve"> в дозах, менших або рівних найнижчим затвердженим. Призначення </w:t>
      </w:r>
      <w:proofErr w:type="spellStart"/>
      <w:r>
        <w:t>бемпедоєвої</w:t>
      </w:r>
      <w:proofErr w:type="spellEnd"/>
      <w:r>
        <w:t xml:space="preserve"> кислоти пацієнтам, які отримували фонову терапію </w:t>
      </w:r>
      <w:proofErr w:type="spellStart"/>
      <w:r>
        <w:t>езетимібом</w:t>
      </w:r>
      <w:proofErr w:type="spellEnd"/>
      <w:r>
        <w:t xml:space="preserve">, значно зменшило рівень ХС ЛПНЩ від початкового рівня до 12-го тижня порівняно з плацебо </w:t>
      </w:r>
      <w:r>
        <w:lastRenderedPageBreak/>
        <w:t xml:space="preserve">та </w:t>
      </w:r>
      <w:proofErr w:type="spellStart"/>
      <w:r>
        <w:t>езетимібом</w:t>
      </w:r>
      <w:proofErr w:type="spellEnd"/>
      <w:r>
        <w:t xml:space="preserve"> (p &lt;0,001). Призначення </w:t>
      </w:r>
      <w:proofErr w:type="spellStart"/>
      <w:r>
        <w:t>бемпедоєвої</w:t>
      </w:r>
      <w:proofErr w:type="spellEnd"/>
      <w:r>
        <w:t xml:space="preserve"> кислоти з фоновою терапією </w:t>
      </w:r>
      <w:proofErr w:type="spellStart"/>
      <w:r>
        <w:t>езетимібом</w:t>
      </w:r>
      <w:proofErr w:type="spellEnd"/>
      <w:r>
        <w:t xml:space="preserve"> також значно зменшило рівень </w:t>
      </w:r>
      <w:proofErr w:type="spellStart"/>
      <w:r>
        <w:t>не-ХС</w:t>
      </w:r>
      <w:proofErr w:type="spellEnd"/>
      <w:r>
        <w:t xml:space="preserve"> ЛПВЩ, </w:t>
      </w:r>
      <w:proofErr w:type="spellStart"/>
      <w:r>
        <w:t>апо</w:t>
      </w:r>
      <w:proofErr w:type="spellEnd"/>
      <w:r>
        <w:t xml:space="preserve"> B та ОГ.</w:t>
      </w:r>
    </w:p>
    <w:p w:rsidR="00A83EAF" w:rsidRDefault="00A83EAF" w:rsidP="00A83EAF">
      <w:pPr>
        <w:pStyle w:val="a4"/>
        <w:shd w:val="clear" w:color="auto" w:fill="FFFFFF"/>
        <w:spacing w:after="0"/>
        <w:ind w:left="0"/>
        <w:jc w:val="both"/>
      </w:pPr>
      <w:r>
        <w:rPr>
          <w:i/>
          <w:iCs/>
        </w:rPr>
        <w:t>Клінічна ефективність та безпека у профілактиці серцево-судинних подій</w:t>
      </w:r>
      <w:r>
        <w:t xml:space="preserve"> </w:t>
      </w:r>
      <w:proofErr w:type="spellStart"/>
      <w:r>
        <w:t>Дослі</w:t>
      </w:r>
      <w:proofErr w:type="spellEnd"/>
      <w:r>
        <w:t xml:space="preserve">дження CLEAR </w:t>
      </w:r>
      <w:proofErr w:type="spellStart"/>
      <w:r>
        <w:t>Outcomes</w:t>
      </w:r>
      <w:proofErr w:type="spellEnd"/>
      <w:r>
        <w:t xml:space="preserve"> (дослідження 1002-043) було </w:t>
      </w:r>
      <w:proofErr w:type="spellStart"/>
      <w:r>
        <w:t>багатоцентровим</w:t>
      </w:r>
      <w:proofErr w:type="spellEnd"/>
      <w:r>
        <w:t xml:space="preserve"> </w:t>
      </w:r>
      <w:proofErr w:type="spellStart"/>
      <w:r>
        <w:t>рандомізованим</w:t>
      </w:r>
      <w:proofErr w:type="spellEnd"/>
      <w:r>
        <w:t xml:space="preserve"> подвійним сліпим плацебо-контрольованим подіями-орієнтованим дослідженням з участю 13970 дорослих пацієнтів зі встановленим атеросклеротичним серцево-судинним захворюванням (ССЗ) (70 %) або з високим ризиком атеросклеротичного ССЗ (30 %). Пацієнти зі встановленим ССЗ мали в анамнезі документально підтверджену ішемічну хворобу серця, симптоматичне захворювання периферичних артерій та/або </w:t>
      </w:r>
      <w:proofErr w:type="spellStart"/>
      <w:r>
        <w:t>цереброваскулярне</w:t>
      </w:r>
      <w:proofErr w:type="spellEnd"/>
      <w:r>
        <w:t xml:space="preserve"> атеросклеротичне захворювання. Пацієнти без встановленого ССЗ вважалися такими, що мають високий ризик ССЗ, на основі відповідності принаймні одному з наступних критеріїв: (1) цукровий діабет (1 або 2 типу) у жінок віком від 65 років або чоловіків віком від 60 років, або (2) бал ризику за шкалою </w:t>
      </w:r>
      <w:proofErr w:type="spellStart"/>
      <w:r>
        <w:t>Рейнольдса</w:t>
      </w:r>
      <w:proofErr w:type="spellEnd"/>
      <w:r>
        <w:t xml:space="preserve"> &gt;30 % або бал ризику SCORE &gt;7,5 % протягом 10 років, або 3) бал кальцію коронарних артерій &gt;400 одиниць </w:t>
      </w:r>
      <w:proofErr w:type="spellStart"/>
      <w:r>
        <w:t>Агатстона</w:t>
      </w:r>
      <w:proofErr w:type="spellEnd"/>
      <w:r>
        <w:t xml:space="preserve"> в будь-який час у минулому. Пацієнтів було </w:t>
      </w:r>
      <w:proofErr w:type="spellStart"/>
      <w:r>
        <w:t>рандомізовано</w:t>
      </w:r>
      <w:proofErr w:type="spellEnd"/>
      <w:r>
        <w:t xml:space="preserve"> у співвідношенні 1:1 для отримання або </w:t>
      </w:r>
      <w:proofErr w:type="spellStart"/>
      <w:r>
        <w:t>бемпедоєвої</w:t>
      </w:r>
      <w:proofErr w:type="spellEnd"/>
      <w:r>
        <w:t xml:space="preserve"> кислоти 180 мг на добу (n = 6992), або плацебо (n = 6978) окремо або як доповнення до інших фонових </w:t>
      </w:r>
      <w:proofErr w:type="spellStart"/>
      <w:r>
        <w:t>ліпідознижувальних</w:t>
      </w:r>
      <w:proofErr w:type="spellEnd"/>
      <w:r>
        <w:t xml:space="preserve"> засобів, які могли включати дуже низькі дози </w:t>
      </w:r>
      <w:proofErr w:type="spellStart"/>
      <w:r>
        <w:t>статинів</w:t>
      </w:r>
      <w:proofErr w:type="spellEnd"/>
      <w:r>
        <w:t>. Загалом, понад 95 % пацієнтів перебували під наглядом до кінця дослідження або летального наслідку, і менше 1 % були втрачені з подальшого спостереження. Медіана тривалості спостереження становила 3,4 року.</w:t>
      </w:r>
    </w:p>
    <w:p w:rsidR="00A83EAF" w:rsidRDefault="00A83EAF" w:rsidP="00A83EAF">
      <w:pPr>
        <w:pStyle w:val="a4"/>
        <w:shd w:val="clear" w:color="auto" w:fill="FFFFFF"/>
        <w:spacing w:after="0"/>
        <w:ind w:left="0"/>
        <w:jc w:val="both"/>
      </w:pPr>
      <w:r>
        <w:t xml:space="preserve">На початку дослідження середній вік становив 65,5 року, 48 % становили жінки, 91 % – білі. Вибрані додаткові початкові характеристики включали гіпертензію (85 %), цукровий діабет (46 %), переддіабет (42 %), куріння тютюну (22 %), </w:t>
      </w:r>
      <w:proofErr w:type="spellStart"/>
      <w:r>
        <w:t>рШКФ</w:t>
      </w:r>
      <w:proofErr w:type="spellEnd"/>
      <w:r>
        <w:t xml:space="preserve"> &lt;60 </w:t>
      </w:r>
      <w:proofErr w:type="spellStart"/>
      <w:r>
        <w:t>мл</w:t>
      </w:r>
      <w:proofErr w:type="spellEnd"/>
      <w:r>
        <w:t>/</w:t>
      </w:r>
      <w:proofErr w:type="spellStart"/>
      <w:r>
        <w:t>хв</w:t>
      </w:r>
      <w:proofErr w:type="spellEnd"/>
      <w:r>
        <w:t xml:space="preserve"> на 1,73 м² (21 %) та середній індекс маси тіла 29,9 кг/м². Середній початковий рівень ХС ЛПНЩ становив 3,6 </w:t>
      </w:r>
      <w:proofErr w:type="spellStart"/>
      <w:r>
        <w:t>ммоль</w:t>
      </w:r>
      <w:proofErr w:type="spellEnd"/>
      <w:r>
        <w:t>/л (139 мг/</w:t>
      </w:r>
      <w:proofErr w:type="spellStart"/>
      <w:r>
        <w:t>дл</w:t>
      </w:r>
      <w:proofErr w:type="spellEnd"/>
      <w:r>
        <w:t xml:space="preserve">). На початку дослідження 41 % пацієнтів приймали принаймні одну </w:t>
      </w:r>
      <w:proofErr w:type="spellStart"/>
      <w:r>
        <w:t>ліпідомодифікувальну</w:t>
      </w:r>
      <w:proofErr w:type="spellEnd"/>
      <w:r>
        <w:t xml:space="preserve"> терапію, включаючи </w:t>
      </w:r>
      <w:proofErr w:type="spellStart"/>
      <w:r>
        <w:t>езетиміб</w:t>
      </w:r>
      <w:proofErr w:type="spellEnd"/>
      <w:r>
        <w:t xml:space="preserve"> (12 %), та дуже низьку дозу </w:t>
      </w:r>
      <w:proofErr w:type="spellStart"/>
      <w:r>
        <w:t>статинів</w:t>
      </w:r>
      <w:proofErr w:type="spellEnd"/>
      <w:r>
        <w:t xml:space="preserve"> (23 %). </w:t>
      </w:r>
      <w:proofErr w:type="spellStart"/>
      <w:r>
        <w:t>Бемпедоєва</w:t>
      </w:r>
      <w:proofErr w:type="spellEnd"/>
      <w:r>
        <w:t xml:space="preserve"> кислота значно зменшила ризик первинної складової кінцевої точки основних несприятливих серцево-судинних подій (MACE-4), що складається з серцево-судинної смерті, </w:t>
      </w:r>
      <w:proofErr w:type="spellStart"/>
      <w:r>
        <w:t>нелетального</w:t>
      </w:r>
      <w:proofErr w:type="spellEnd"/>
      <w:r>
        <w:t xml:space="preserve"> інфаркту міокарда, </w:t>
      </w:r>
      <w:proofErr w:type="spellStart"/>
      <w:r>
        <w:t>нелетального</w:t>
      </w:r>
      <w:proofErr w:type="spellEnd"/>
      <w:r>
        <w:t xml:space="preserve"> інсульту або коронарної </w:t>
      </w:r>
      <w:proofErr w:type="spellStart"/>
      <w:r>
        <w:t>реваскуляризації</w:t>
      </w:r>
      <w:proofErr w:type="spellEnd"/>
      <w:r>
        <w:t xml:space="preserve">, на 13 % порівняно з плацебо (співвідношення ризиків: 0,87; 95 % ДІ: 0,79, 0,96; p = 0,0037); а ризик ключової вторинної складової кінцевої точки MACE-3 (серцево-судинна смерть, </w:t>
      </w:r>
      <w:proofErr w:type="spellStart"/>
      <w:r>
        <w:t>нелетальний</w:t>
      </w:r>
      <w:proofErr w:type="spellEnd"/>
      <w:r>
        <w:t xml:space="preserve"> інфаркт міокарда або </w:t>
      </w:r>
      <w:proofErr w:type="spellStart"/>
      <w:r>
        <w:t>нелетальний</w:t>
      </w:r>
      <w:proofErr w:type="spellEnd"/>
      <w:r>
        <w:t xml:space="preserve"> інсульт) був значно зменшений на 15 % порівняно з плацебо (співвідношення ризиків: 0,85; 95 % ДІ: 0,76, 0,96; p = 0,0058). Результат первинної складової кінцевої точки був загалом узгодженим у попередньо визначених підгрупах (включаючи початковий вік, расу, етнічну приналежність, стать, категорію ЛПНЩ, застосування </w:t>
      </w:r>
      <w:proofErr w:type="spellStart"/>
      <w:r>
        <w:t>статинів</w:t>
      </w:r>
      <w:proofErr w:type="spellEnd"/>
      <w:r>
        <w:t xml:space="preserve">, застосування </w:t>
      </w:r>
      <w:proofErr w:type="spellStart"/>
      <w:r>
        <w:t>езетимібу</w:t>
      </w:r>
      <w:proofErr w:type="spellEnd"/>
      <w:r>
        <w:t xml:space="preserve"> та діабет). Точкова оцінка коефіцієнта ризику MACE-4 становила 0,94 (95 % ДІ: 0,74; 1,20) у підгрупі пацієнтів, які застосовували </w:t>
      </w:r>
      <w:proofErr w:type="spellStart"/>
      <w:r>
        <w:t>езетиміб</w:t>
      </w:r>
      <w:proofErr w:type="spellEnd"/>
      <w:r>
        <w:t xml:space="preserve"> на початку дослідження. Для обмеженої підгрупи пацієнтів, які застосовували </w:t>
      </w:r>
      <w:proofErr w:type="spellStart"/>
      <w:r>
        <w:t>езетиміб</w:t>
      </w:r>
      <w:proofErr w:type="spellEnd"/>
      <w:r>
        <w:t xml:space="preserve"> на початку дослідження та мали високий серцево-судинний ризик (n=335), зниження рівня ЛПНЩ становило -26,7 % (95 % ДІ; -30,9 %, -22,4 %), але зниження серцево-судинного ризику оцінити не вдалося.</w:t>
      </w:r>
    </w:p>
    <w:p w:rsidR="00A83EAF" w:rsidRDefault="00A83EAF" w:rsidP="00A83EAF">
      <w:pPr>
        <w:pStyle w:val="a4"/>
        <w:shd w:val="clear" w:color="auto" w:fill="FFFFFF"/>
        <w:spacing w:after="0"/>
        <w:ind w:left="0"/>
        <w:jc w:val="both"/>
      </w:pPr>
      <w:r>
        <w:t xml:space="preserve">Вплив </w:t>
      </w:r>
      <w:proofErr w:type="spellStart"/>
      <w:r>
        <w:t>бемпедоєвої</w:t>
      </w:r>
      <w:proofErr w:type="spellEnd"/>
      <w:r>
        <w:t xml:space="preserve"> кислоти на окремі компоненти первинної кінцевої точки включав зниження ризику </w:t>
      </w:r>
      <w:proofErr w:type="spellStart"/>
      <w:r>
        <w:t>нелетального</w:t>
      </w:r>
      <w:proofErr w:type="spellEnd"/>
      <w:r>
        <w:t xml:space="preserve"> інфаркту міокарда на 27 % та зниження ризику коронарної </w:t>
      </w:r>
      <w:proofErr w:type="spellStart"/>
      <w:r>
        <w:t>реваскуляризації</w:t>
      </w:r>
      <w:proofErr w:type="spellEnd"/>
      <w:r>
        <w:t xml:space="preserve"> на 19 % порівняно з плацебо. Не було виявлено статистично значущої різниці у зниженні </w:t>
      </w:r>
      <w:proofErr w:type="spellStart"/>
      <w:r>
        <w:t>нелетального</w:t>
      </w:r>
      <w:proofErr w:type="spellEnd"/>
      <w:r>
        <w:t xml:space="preserve"> інсульту та ризику серцево-судинної смерті порівняно з плацебо. Результати первинних та ключових вторинних кінцевих точок </w:t>
      </w:r>
      <w:r>
        <w:lastRenderedPageBreak/>
        <w:t xml:space="preserve">ефективності наведено в Таблиці 2. Оцінки кривої </w:t>
      </w:r>
      <w:proofErr w:type="spellStart"/>
      <w:r>
        <w:t>Каплана-Мейєра</w:t>
      </w:r>
      <w:proofErr w:type="spellEnd"/>
      <w:r>
        <w:t xml:space="preserve"> щодо кумулятивної частоти первинної та вторинної кінцевих точок MACE-3 наведено на рисунках 1 та 2 нижче. Кумулятивна частота первинної кінцевої точки MACE-4 розділена 6-м місяцем. Крім того, різниця між </w:t>
      </w:r>
      <w:proofErr w:type="spellStart"/>
      <w:r>
        <w:t>бемпедоєвою</w:t>
      </w:r>
      <w:proofErr w:type="spellEnd"/>
      <w:r>
        <w:t xml:space="preserve"> кислотою та плацебо в середній відсотковій зміні рівня ЛПНЩ від початкового рівня до 6-го місяця становила -20 % (95 % ДІ: -21 %, -19 %).</w:t>
      </w:r>
    </w:p>
    <w:p w:rsidR="00A83EAF" w:rsidRDefault="00A83EAF" w:rsidP="00A83EAF">
      <w:pPr>
        <w:pStyle w:val="a4"/>
        <w:shd w:val="clear" w:color="auto" w:fill="FFFFFF"/>
        <w:spacing w:after="0"/>
        <w:ind w:left="0"/>
        <w:jc w:val="right"/>
        <w:rPr>
          <w:bCs/>
        </w:rPr>
      </w:pPr>
      <w:r>
        <w:rPr>
          <w:bCs/>
        </w:rPr>
        <w:t>Таблиця 2</w:t>
      </w:r>
    </w:p>
    <w:p w:rsidR="00A83EAF" w:rsidRDefault="00A83EAF" w:rsidP="00A83EAF">
      <w:pPr>
        <w:pStyle w:val="a4"/>
        <w:shd w:val="clear" w:color="auto" w:fill="FFFFFF"/>
        <w:spacing w:after="0"/>
        <w:ind w:left="0"/>
        <w:jc w:val="center"/>
      </w:pPr>
      <w:r>
        <w:rPr>
          <w:bCs/>
        </w:rPr>
        <w:t xml:space="preserve">Вплив </w:t>
      </w:r>
      <w:proofErr w:type="spellStart"/>
      <w:r>
        <w:rPr>
          <w:bCs/>
        </w:rPr>
        <w:t>бемпедоєвої</w:t>
      </w:r>
      <w:proofErr w:type="spellEnd"/>
      <w:r>
        <w:rPr>
          <w:bCs/>
        </w:rPr>
        <w:t xml:space="preserve"> кислоти на серйозні серцево-судинні події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4"/>
        <w:gridCol w:w="1594"/>
        <w:gridCol w:w="1094"/>
        <w:gridCol w:w="1919"/>
      </w:tblGrid>
      <w:tr w:rsidR="00A83EAF" w:rsidTr="00641932">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bCs/>
              </w:rPr>
              <w:t>Кінцева точка</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proofErr w:type="spellStart"/>
            <w:r>
              <w:rPr>
                <w:bCs/>
              </w:rPr>
              <w:t>Бемпедоєва</w:t>
            </w:r>
            <w:proofErr w:type="spellEnd"/>
            <w:r>
              <w:rPr>
                <w:bCs/>
              </w:rPr>
              <w:t xml:space="preserve"> кислота</w:t>
            </w:r>
          </w:p>
          <w:p w:rsidR="00A83EAF" w:rsidRDefault="00A83EAF" w:rsidP="00641932">
            <w:pPr>
              <w:pStyle w:val="a4"/>
              <w:spacing w:after="0"/>
              <w:ind w:left="0"/>
              <w:jc w:val="center"/>
            </w:pPr>
            <w:r>
              <w:rPr>
                <w:bCs/>
              </w:rPr>
              <w:t>N=6992</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bCs/>
              </w:rPr>
              <w:t>Плацебо</w:t>
            </w:r>
          </w:p>
          <w:p w:rsidR="00A83EAF" w:rsidRDefault="00A83EAF" w:rsidP="00641932">
            <w:pPr>
              <w:pStyle w:val="a4"/>
              <w:spacing w:after="0"/>
              <w:ind w:left="0"/>
              <w:jc w:val="center"/>
            </w:pPr>
            <w:r>
              <w:rPr>
                <w:bCs/>
              </w:rPr>
              <w:t>N=6978</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proofErr w:type="spellStart"/>
            <w:r>
              <w:rPr>
                <w:bCs/>
              </w:rPr>
              <w:t>Бемпедоєва</w:t>
            </w:r>
            <w:proofErr w:type="spellEnd"/>
            <w:r>
              <w:rPr>
                <w:bCs/>
              </w:rPr>
              <w:t xml:space="preserve"> кислота проти плацебо</w:t>
            </w:r>
          </w:p>
        </w:tc>
      </w:tr>
      <w:tr w:rsidR="00A83EAF" w:rsidTr="00641932">
        <w:tc>
          <w:tcPr>
            <w:tcW w:w="0" w:type="auto"/>
            <w:vMerge/>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spacing w:after="0" w:line="240" w:lineRule="auto"/>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bCs/>
              </w:rPr>
              <w:t>н (%)</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bCs/>
              </w:rPr>
              <w:t>н (%)</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bCs/>
              </w:rPr>
              <w:t>Коефіцієнт ризику </w:t>
            </w:r>
            <w:r>
              <w:rPr>
                <w:bCs/>
                <w:vertAlign w:val="superscript"/>
              </w:rPr>
              <w:t>a</w:t>
            </w:r>
          </w:p>
          <w:p w:rsidR="00A83EAF" w:rsidRDefault="00A83EAF" w:rsidP="00641932">
            <w:pPr>
              <w:pStyle w:val="a4"/>
              <w:spacing w:after="0"/>
              <w:ind w:left="0"/>
              <w:jc w:val="center"/>
            </w:pPr>
            <w:r>
              <w:rPr>
                <w:bCs/>
              </w:rPr>
              <w:t>(95% ДІ)</w:t>
            </w:r>
          </w:p>
          <w:p w:rsidR="00A83EAF" w:rsidRDefault="00A83EAF" w:rsidP="00641932">
            <w:pPr>
              <w:pStyle w:val="a4"/>
              <w:spacing w:after="0"/>
              <w:ind w:left="0"/>
              <w:jc w:val="center"/>
            </w:pPr>
            <w:proofErr w:type="spellStart"/>
            <w:r>
              <w:rPr>
                <w:bCs/>
                <w:i/>
                <w:iCs/>
              </w:rPr>
              <w:t>p</w:t>
            </w:r>
            <w:r>
              <w:rPr>
                <w:bCs/>
              </w:rPr>
              <w:t> -значення</w:t>
            </w:r>
            <w:proofErr w:type="spellEnd"/>
            <w:r>
              <w:rPr>
                <w:bCs/>
              </w:rPr>
              <w:t> </w:t>
            </w:r>
            <w:r>
              <w:rPr>
                <w:vertAlign w:val="superscript"/>
              </w:rPr>
              <w:t>b</w:t>
            </w:r>
          </w:p>
        </w:tc>
      </w:tr>
      <w:tr w:rsidR="00A83EAF" w:rsidTr="00641932">
        <w:tc>
          <w:tcPr>
            <w:tcW w:w="0" w:type="auto"/>
            <w:gridSpan w:val="4"/>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rPr>
                <w:bCs/>
              </w:rPr>
              <w:t>Первинна складена кінцева точка</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Летальний наслідок від серцево-судинних захворювань, </w:t>
            </w:r>
            <w:proofErr w:type="spellStart"/>
            <w:r>
              <w:t>нелетальний</w:t>
            </w:r>
            <w:proofErr w:type="spellEnd"/>
            <w:r>
              <w:t xml:space="preserve"> інфаркт міокарда, </w:t>
            </w:r>
            <w:proofErr w:type="spellStart"/>
            <w:r>
              <w:t>нелетальний</w:t>
            </w:r>
            <w:proofErr w:type="spellEnd"/>
            <w:r>
              <w:t xml:space="preserve"> інсульт, коронарна </w:t>
            </w:r>
            <w:proofErr w:type="spellStart"/>
            <w:r>
              <w:t>реваскуляризація</w:t>
            </w:r>
            <w:proofErr w:type="spellEnd"/>
            <w:r>
              <w:t xml:space="preserve"> (MACE-4)</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819</w:t>
            </w:r>
          </w:p>
          <w:p w:rsidR="00A83EAF" w:rsidRDefault="00A83EAF" w:rsidP="00641932">
            <w:pPr>
              <w:pStyle w:val="a4"/>
              <w:spacing w:after="0"/>
              <w:ind w:left="0"/>
              <w:jc w:val="center"/>
            </w:pPr>
            <w:r>
              <w:t>(11,7)</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927</w:t>
            </w:r>
          </w:p>
          <w:p w:rsidR="00A83EAF" w:rsidRDefault="00A83EAF" w:rsidP="00641932">
            <w:pPr>
              <w:pStyle w:val="a4"/>
              <w:spacing w:after="0"/>
              <w:ind w:left="0"/>
              <w:jc w:val="center"/>
            </w:pPr>
            <w:r>
              <w:t>(13,3)</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0,87</w:t>
            </w:r>
          </w:p>
          <w:p w:rsidR="00A83EAF" w:rsidRDefault="00A83EAF" w:rsidP="00641932">
            <w:pPr>
              <w:pStyle w:val="a4"/>
              <w:spacing w:after="0"/>
              <w:ind w:left="0"/>
              <w:jc w:val="center"/>
            </w:pPr>
            <w:r>
              <w:t>(0,79, 0,96)</w:t>
            </w:r>
          </w:p>
          <w:p w:rsidR="00A83EAF" w:rsidRDefault="00A83EAF" w:rsidP="00641932">
            <w:pPr>
              <w:pStyle w:val="a4"/>
              <w:spacing w:after="0"/>
              <w:ind w:left="0"/>
              <w:jc w:val="center"/>
            </w:pPr>
            <w:r>
              <w:t>0,0037</w:t>
            </w:r>
          </w:p>
        </w:tc>
      </w:tr>
      <w:tr w:rsidR="00A83EAF" w:rsidTr="00641932">
        <w:tc>
          <w:tcPr>
            <w:tcW w:w="0" w:type="auto"/>
            <w:gridSpan w:val="4"/>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rPr>
                <w:bCs/>
              </w:rPr>
              <w:t>Компоненти первинної кінцевої точки</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proofErr w:type="spellStart"/>
            <w:r>
              <w:t>Нелетальний</w:t>
            </w:r>
            <w:proofErr w:type="spellEnd"/>
            <w:r>
              <w:t xml:space="preserve"> інфаркт міокарда</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236</w:t>
            </w:r>
          </w:p>
          <w:p w:rsidR="00A83EAF" w:rsidRDefault="00A83EAF" w:rsidP="00641932">
            <w:pPr>
              <w:pStyle w:val="a4"/>
              <w:spacing w:after="0"/>
              <w:ind w:left="0"/>
              <w:jc w:val="center"/>
            </w:pPr>
            <w:r>
              <w:t>(3,4)</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317</w:t>
            </w:r>
          </w:p>
          <w:p w:rsidR="00A83EAF" w:rsidRDefault="00A83EAF" w:rsidP="00641932">
            <w:pPr>
              <w:pStyle w:val="a4"/>
              <w:spacing w:after="0"/>
              <w:ind w:left="0"/>
              <w:jc w:val="center"/>
            </w:pPr>
            <w:r>
              <w:t>(4,5)</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0,73</w:t>
            </w:r>
          </w:p>
          <w:p w:rsidR="00A83EAF" w:rsidRDefault="00A83EAF" w:rsidP="00641932">
            <w:pPr>
              <w:pStyle w:val="a4"/>
              <w:spacing w:after="0"/>
              <w:ind w:left="0"/>
              <w:jc w:val="center"/>
            </w:pPr>
            <w:r>
              <w:t>(0,62, 0,87)</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Коронарна </w:t>
            </w:r>
            <w:proofErr w:type="spellStart"/>
            <w:r>
              <w:t>реваскуляризація</w:t>
            </w:r>
            <w:proofErr w:type="spellEnd"/>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435</w:t>
            </w:r>
          </w:p>
          <w:p w:rsidR="00A83EAF" w:rsidRDefault="00A83EAF" w:rsidP="00641932">
            <w:pPr>
              <w:pStyle w:val="a4"/>
              <w:spacing w:after="0"/>
              <w:ind w:left="0"/>
              <w:jc w:val="center"/>
            </w:pPr>
            <w:r>
              <w:t>(6,2)</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529</w:t>
            </w:r>
          </w:p>
          <w:p w:rsidR="00A83EAF" w:rsidRDefault="00A83EAF" w:rsidP="00641932">
            <w:pPr>
              <w:pStyle w:val="a4"/>
              <w:spacing w:after="0"/>
              <w:ind w:left="0"/>
              <w:jc w:val="center"/>
            </w:pPr>
            <w:r>
              <w:t>(7,6)</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0,81</w:t>
            </w:r>
          </w:p>
          <w:p w:rsidR="00A83EAF" w:rsidRDefault="00A83EAF" w:rsidP="00641932">
            <w:pPr>
              <w:pStyle w:val="a4"/>
              <w:spacing w:after="0"/>
              <w:ind w:left="0"/>
              <w:jc w:val="center"/>
            </w:pPr>
            <w:r>
              <w:t>(0,72, 0,92)</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proofErr w:type="spellStart"/>
            <w:r>
              <w:t>Нелетальний</w:t>
            </w:r>
            <w:proofErr w:type="spellEnd"/>
            <w:r>
              <w:t xml:space="preserve"> інсульт</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119</w:t>
            </w:r>
          </w:p>
          <w:p w:rsidR="00A83EAF" w:rsidRDefault="00A83EAF" w:rsidP="00641932">
            <w:pPr>
              <w:pStyle w:val="a4"/>
              <w:spacing w:after="0"/>
              <w:ind w:left="0"/>
              <w:jc w:val="center"/>
            </w:pPr>
            <w:r>
              <w:t>(1,7)</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144</w:t>
            </w:r>
          </w:p>
          <w:p w:rsidR="00A83EAF" w:rsidRDefault="00A83EAF" w:rsidP="00641932">
            <w:pPr>
              <w:pStyle w:val="a4"/>
              <w:spacing w:after="0"/>
              <w:ind w:left="0"/>
              <w:jc w:val="center"/>
            </w:pPr>
            <w:r>
              <w:t>(2,1)</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0,82</w:t>
            </w:r>
          </w:p>
          <w:p w:rsidR="00A83EAF" w:rsidRDefault="00A83EAF" w:rsidP="00641932">
            <w:pPr>
              <w:pStyle w:val="a4"/>
              <w:spacing w:after="0"/>
              <w:ind w:left="0"/>
              <w:jc w:val="center"/>
            </w:pPr>
            <w:r>
              <w:t>(0,64, 1,05)</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Летальний наслідок від серцево-судинних захворювань</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269</w:t>
            </w:r>
          </w:p>
          <w:p w:rsidR="00A83EAF" w:rsidRDefault="00A83EAF" w:rsidP="00641932">
            <w:pPr>
              <w:pStyle w:val="a4"/>
              <w:spacing w:after="0"/>
              <w:ind w:left="0"/>
              <w:jc w:val="center"/>
            </w:pPr>
            <w:r>
              <w:t>(3,8)</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257</w:t>
            </w:r>
          </w:p>
          <w:p w:rsidR="00A83EAF" w:rsidRDefault="00A83EAF" w:rsidP="00641932">
            <w:pPr>
              <w:pStyle w:val="a4"/>
              <w:spacing w:after="0"/>
              <w:ind w:left="0"/>
              <w:jc w:val="center"/>
            </w:pPr>
            <w:r>
              <w:t>(3,7)</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1.04</w:t>
            </w:r>
          </w:p>
          <w:p w:rsidR="00A83EAF" w:rsidRDefault="00A83EAF" w:rsidP="00641932">
            <w:pPr>
              <w:pStyle w:val="a4"/>
              <w:spacing w:after="0"/>
              <w:ind w:left="0"/>
              <w:jc w:val="center"/>
            </w:pPr>
            <w:r>
              <w:t>(0,88, 1,24)</w:t>
            </w:r>
          </w:p>
        </w:tc>
      </w:tr>
      <w:tr w:rsidR="00A83EAF" w:rsidTr="00641932">
        <w:tc>
          <w:tcPr>
            <w:tcW w:w="0" w:type="auto"/>
            <w:gridSpan w:val="4"/>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rPr>
                <w:bCs/>
              </w:rPr>
              <w:t>Ключові вторинні кінцеві точки</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Летальний наслідок від серцево-судинних захворювань, </w:t>
            </w:r>
            <w:proofErr w:type="spellStart"/>
            <w:r>
              <w:t>нелетальний</w:t>
            </w:r>
            <w:proofErr w:type="spellEnd"/>
            <w:r>
              <w:t xml:space="preserve"> інфаркт міокарда, </w:t>
            </w:r>
            <w:proofErr w:type="spellStart"/>
            <w:r>
              <w:t>нелетальний</w:t>
            </w:r>
            <w:proofErr w:type="spellEnd"/>
            <w:r>
              <w:t xml:space="preserve"> інсульт (MACE-3)</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575</w:t>
            </w:r>
          </w:p>
          <w:p w:rsidR="00A83EAF" w:rsidRDefault="00A83EAF" w:rsidP="00641932">
            <w:pPr>
              <w:pStyle w:val="a4"/>
              <w:spacing w:after="0"/>
              <w:ind w:left="0"/>
              <w:jc w:val="center"/>
            </w:pPr>
            <w:r>
              <w:t>(8,2)</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663</w:t>
            </w:r>
          </w:p>
          <w:p w:rsidR="00A83EAF" w:rsidRDefault="00A83EAF" w:rsidP="00641932">
            <w:pPr>
              <w:pStyle w:val="a4"/>
              <w:spacing w:after="0"/>
              <w:ind w:left="0"/>
              <w:jc w:val="center"/>
            </w:pPr>
            <w:r>
              <w:t>(9,5)</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0,85</w:t>
            </w:r>
          </w:p>
          <w:p w:rsidR="00A83EAF" w:rsidRDefault="00A83EAF" w:rsidP="00641932">
            <w:pPr>
              <w:pStyle w:val="a4"/>
              <w:spacing w:after="0"/>
              <w:ind w:left="0"/>
              <w:jc w:val="center"/>
            </w:pPr>
            <w:r>
              <w:t>(0,76, 0,96)</w:t>
            </w:r>
          </w:p>
          <w:p w:rsidR="00A83EAF" w:rsidRDefault="00A83EAF" w:rsidP="00641932">
            <w:pPr>
              <w:pStyle w:val="a4"/>
              <w:spacing w:after="0"/>
              <w:ind w:left="0"/>
              <w:jc w:val="center"/>
            </w:pPr>
            <w:r>
              <w:t>0,0058</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Летальний та </w:t>
            </w:r>
            <w:proofErr w:type="spellStart"/>
            <w:r>
              <w:t>нелетальний</w:t>
            </w:r>
            <w:proofErr w:type="spellEnd"/>
            <w:r>
              <w:t xml:space="preserve"> інфаркт міокарда </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261 (3,7)</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334 (4,8)</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0,77</w:t>
            </w:r>
          </w:p>
          <w:p w:rsidR="00A83EAF" w:rsidRDefault="00A83EAF" w:rsidP="00641932">
            <w:pPr>
              <w:pStyle w:val="a4"/>
              <w:spacing w:after="0"/>
              <w:ind w:left="0"/>
              <w:jc w:val="center"/>
            </w:pPr>
            <w:r>
              <w:t>(0,66, 0,91)</w:t>
            </w:r>
          </w:p>
          <w:p w:rsidR="00A83EAF" w:rsidRDefault="00A83EAF" w:rsidP="00641932">
            <w:pPr>
              <w:pStyle w:val="a4"/>
              <w:spacing w:after="0"/>
              <w:ind w:left="0"/>
              <w:jc w:val="center"/>
            </w:pPr>
            <w:r>
              <w:t>0,0016</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Коронарна </w:t>
            </w:r>
            <w:proofErr w:type="spellStart"/>
            <w:r>
              <w:t>реваскуляризація</w:t>
            </w:r>
            <w:proofErr w:type="spellEnd"/>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435 (6,2)</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529 (7,6)</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0,81</w:t>
            </w:r>
          </w:p>
          <w:p w:rsidR="00A83EAF" w:rsidRDefault="00A83EAF" w:rsidP="00641932">
            <w:pPr>
              <w:pStyle w:val="a4"/>
              <w:spacing w:after="0"/>
              <w:ind w:left="0"/>
              <w:jc w:val="center"/>
            </w:pPr>
            <w:r>
              <w:t>(0,72, 0,92)</w:t>
            </w:r>
          </w:p>
          <w:p w:rsidR="00A83EAF" w:rsidRDefault="00A83EAF" w:rsidP="00641932">
            <w:pPr>
              <w:pStyle w:val="a4"/>
              <w:spacing w:after="0"/>
              <w:ind w:left="0"/>
              <w:jc w:val="center"/>
            </w:pPr>
            <w:r>
              <w:t>0,0013</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Летальний та </w:t>
            </w:r>
            <w:proofErr w:type="spellStart"/>
            <w:r>
              <w:t>нелетальний</w:t>
            </w:r>
            <w:proofErr w:type="spellEnd"/>
            <w:r>
              <w:t xml:space="preserve"> інсульт</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135 (1,9)</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158 (2,3)</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0,85</w:t>
            </w:r>
          </w:p>
          <w:p w:rsidR="00A83EAF" w:rsidRDefault="00A83EAF" w:rsidP="00641932">
            <w:pPr>
              <w:pStyle w:val="a4"/>
              <w:spacing w:after="0"/>
              <w:ind w:left="0"/>
              <w:jc w:val="center"/>
            </w:pPr>
            <w:r>
              <w:t>(0,67, 1,07)</w:t>
            </w:r>
          </w:p>
          <w:p w:rsidR="00A83EAF" w:rsidRDefault="00A83EAF" w:rsidP="00641932">
            <w:pPr>
              <w:pStyle w:val="a4"/>
              <w:spacing w:after="0"/>
              <w:ind w:left="0"/>
              <w:jc w:val="center"/>
            </w:pPr>
            <w:r>
              <w:t>НС</w:t>
            </w:r>
          </w:p>
        </w:tc>
      </w:tr>
    </w:tbl>
    <w:p w:rsidR="00A83EAF" w:rsidRDefault="00A83EAF" w:rsidP="00A83EAF">
      <w:pPr>
        <w:pStyle w:val="a4"/>
        <w:shd w:val="clear" w:color="auto" w:fill="FFFFFF"/>
        <w:spacing w:after="0"/>
        <w:ind w:left="0"/>
        <w:jc w:val="both"/>
        <w:rPr>
          <w:sz w:val="22"/>
        </w:rPr>
      </w:pPr>
      <w:r>
        <w:t>ДІ = довірчий інтервал; MACE = серйозна несприятлива серцево-судинна подія; NS = незначуще.</w:t>
      </w:r>
    </w:p>
    <w:p w:rsidR="00A83EAF" w:rsidRDefault="00A83EAF" w:rsidP="00A83EAF">
      <w:pPr>
        <w:pStyle w:val="a4"/>
        <w:shd w:val="clear" w:color="auto" w:fill="FFFFFF"/>
        <w:spacing w:after="0"/>
        <w:ind w:left="0"/>
        <w:jc w:val="both"/>
      </w:pPr>
      <w:r>
        <w:rPr>
          <w:vertAlign w:val="superscript"/>
        </w:rPr>
        <w:t>a.</w:t>
      </w:r>
      <w:r>
        <w:t xml:space="preserve"> Коефіцієнт ризику та відповідний 95 % ДІ базувалися на пропорційній моделі ризику </w:t>
      </w:r>
      <w:proofErr w:type="spellStart"/>
      <w:r>
        <w:t>Кокса</w:t>
      </w:r>
      <w:proofErr w:type="spellEnd"/>
      <w:r>
        <w:t>, що використовувалася як пояснювальна змінна.</w:t>
      </w:r>
    </w:p>
    <w:p w:rsidR="00A83EAF" w:rsidRDefault="00A83EAF" w:rsidP="00A83EAF">
      <w:pPr>
        <w:pStyle w:val="a4"/>
        <w:shd w:val="clear" w:color="auto" w:fill="FFFFFF"/>
        <w:spacing w:after="0"/>
        <w:ind w:left="0"/>
        <w:jc w:val="both"/>
      </w:pPr>
      <w:r>
        <w:rPr>
          <w:vertAlign w:val="superscript"/>
        </w:rPr>
        <w:t>b.</w:t>
      </w:r>
      <w:r>
        <w:t xml:space="preserve"> </w:t>
      </w:r>
      <w:proofErr w:type="spellStart"/>
      <w:r>
        <w:rPr>
          <w:i/>
          <w:iCs/>
        </w:rPr>
        <w:t>p</w:t>
      </w:r>
      <w:r>
        <w:t> -значен</w:t>
      </w:r>
      <w:proofErr w:type="spellEnd"/>
      <w:r>
        <w:t>ня було розраховано на основі логарифмічного рангового тесту.</w:t>
      </w:r>
    </w:p>
    <w:p w:rsidR="00A83EAF" w:rsidRDefault="00A83EAF" w:rsidP="00A83EAF">
      <w:pPr>
        <w:pStyle w:val="a4"/>
        <w:shd w:val="clear" w:color="auto" w:fill="FFFFFF"/>
        <w:spacing w:after="0"/>
        <w:ind w:left="0"/>
        <w:jc w:val="both"/>
      </w:pPr>
      <w:r>
        <w:lastRenderedPageBreak/>
        <w:t>Примітка: у цій таблиці також наведено час до першого виникнення кожного з компонентів MACE; пацієнти можуть бути включені до більш ніж 1 категорії</w:t>
      </w:r>
    </w:p>
    <w:p w:rsidR="00A83EAF" w:rsidRDefault="00A83EAF" w:rsidP="00A83EAF">
      <w:pPr>
        <w:pStyle w:val="a4"/>
        <w:shd w:val="clear" w:color="auto" w:fill="FFFFFF"/>
        <w:spacing w:after="0"/>
        <w:ind w:left="0"/>
        <w:jc w:val="both"/>
        <w:rPr>
          <w:i/>
        </w:rPr>
      </w:pPr>
      <w:r>
        <w:rPr>
          <w:i/>
        </w:rPr>
        <w:t>Педіатрична популяція</w:t>
      </w:r>
    </w:p>
    <w:p w:rsidR="00A83EAF" w:rsidRDefault="00A83EAF" w:rsidP="00A83EAF">
      <w:pPr>
        <w:pStyle w:val="a4"/>
        <w:shd w:val="clear" w:color="auto" w:fill="FFFFFF"/>
        <w:spacing w:after="0"/>
        <w:ind w:left="0"/>
        <w:jc w:val="both"/>
      </w:pPr>
      <w:r>
        <w:t>Європейське агентство з лікарських засобів звільнило від зобов’язання подавати результати досліджень лікарського засобу у всіх підгрупах дитячого населення при лікуванні підвищеного рівня холестерину (див. розділ «Спосіб застосування та дози» для отримання інформації щодо застосування у дітей).</w:t>
      </w:r>
    </w:p>
    <w:p w:rsidR="00A83EAF" w:rsidRDefault="00A83EAF" w:rsidP="00A83EAF">
      <w:pPr>
        <w:spacing w:after="0" w:line="240" w:lineRule="auto"/>
        <w:jc w:val="both"/>
        <w:rPr>
          <w:rFonts w:ascii="Times New Roman" w:hAnsi="Times New Roman"/>
          <w:sz w:val="24"/>
          <w:szCs w:val="24"/>
        </w:rPr>
      </w:pPr>
      <w:r>
        <w:rPr>
          <w:rFonts w:ascii="Times New Roman" w:hAnsi="Times New Roman"/>
          <w:sz w:val="24"/>
          <w:szCs w:val="24"/>
        </w:rPr>
        <w:t>Фармакокінетика</w:t>
      </w:r>
    </w:p>
    <w:p w:rsidR="00A83EAF" w:rsidRDefault="00A83EAF" w:rsidP="00A83EAF">
      <w:pPr>
        <w:shd w:val="clear" w:color="auto" w:fill="FFFFFF"/>
        <w:spacing w:after="0" w:line="240" w:lineRule="auto"/>
        <w:jc w:val="both"/>
        <w:rPr>
          <w:rFonts w:ascii="Times New Roman" w:hAnsi="Times New Roman"/>
          <w:i/>
          <w:sz w:val="24"/>
          <w:szCs w:val="24"/>
        </w:rPr>
      </w:pPr>
      <w:r>
        <w:rPr>
          <w:rFonts w:ascii="Times New Roman" w:hAnsi="Times New Roman"/>
          <w:i/>
          <w:sz w:val="24"/>
          <w:szCs w:val="24"/>
        </w:rPr>
        <w:t>Абсорбція</w:t>
      </w:r>
    </w:p>
    <w:p w:rsidR="00A83EAF" w:rsidRDefault="00A83EAF" w:rsidP="00A83EAF">
      <w:pPr>
        <w:pStyle w:val="a4"/>
        <w:shd w:val="clear" w:color="auto" w:fill="FFFFFF"/>
        <w:spacing w:after="0"/>
        <w:ind w:left="0"/>
        <w:jc w:val="both"/>
      </w:pPr>
      <w:proofErr w:type="spellStart"/>
      <w:r>
        <w:t>Біодоступність</w:t>
      </w:r>
      <w:proofErr w:type="spellEnd"/>
      <w:r>
        <w:t xml:space="preserve"> таблеток </w:t>
      </w:r>
      <w:proofErr w:type="spellStart"/>
      <w:r>
        <w:t>бемпедоєвої</w:t>
      </w:r>
      <w:proofErr w:type="spellEnd"/>
      <w:r>
        <w:t xml:space="preserve"> кислоти / </w:t>
      </w:r>
      <w:proofErr w:type="spellStart"/>
      <w:r>
        <w:t>езетимібу</w:t>
      </w:r>
      <w:proofErr w:type="spellEnd"/>
      <w:r>
        <w:t xml:space="preserve"> була подібною порівняно з </w:t>
      </w:r>
      <w:proofErr w:type="spellStart"/>
      <w:r>
        <w:t>біодоступністю</w:t>
      </w:r>
      <w:proofErr w:type="spellEnd"/>
      <w:r>
        <w:t xml:space="preserve"> окремих таблеток, що приймали одночасно. Значення максимальної концентрації в сироватці крові (</w:t>
      </w:r>
      <w:proofErr w:type="spellStart"/>
      <w:r>
        <w:t>C</w:t>
      </w:r>
      <w:r>
        <w:rPr>
          <w:vertAlign w:val="subscript"/>
        </w:rPr>
        <w:t>max</w:t>
      </w:r>
      <w:proofErr w:type="spellEnd"/>
      <w:r>
        <w:t xml:space="preserve">) для </w:t>
      </w:r>
      <w:proofErr w:type="spellStart"/>
      <w:r>
        <w:t>бемпедоєвої</w:t>
      </w:r>
      <w:proofErr w:type="spellEnd"/>
      <w:r>
        <w:t xml:space="preserve"> кислоти та її активного метаболіту (ESP15228) були подібними між різними лікарськими формами, але значення </w:t>
      </w:r>
      <w:proofErr w:type="spellStart"/>
      <w:r>
        <w:t>C</w:t>
      </w:r>
      <w:r>
        <w:rPr>
          <w:vertAlign w:val="subscript"/>
        </w:rPr>
        <w:t>max</w:t>
      </w:r>
      <w:proofErr w:type="spellEnd"/>
      <w:r>
        <w:t xml:space="preserve"> </w:t>
      </w:r>
      <w:proofErr w:type="spellStart"/>
      <w:r>
        <w:t>езетимібу</w:t>
      </w:r>
      <w:proofErr w:type="spellEnd"/>
      <w:r>
        <w:t xml:space="preserve"> та </w:t>
      </w:r>
      <w:proofErr w:type="spellStart"/>
      <w:r>
        <w:t>езетимібу</w:t>
      </w:r>
      <w:proofErr w:type="spellEnd"/>
      <w:r>
        <w:t xml:space="preserve"> </w:t>
      </w:r>
      <w:proofErr w:type="spellStart"/>
      <w:r>
        <w:t>глюкуроніду</w:t>
      </w:r>
      <w:proofErr w:type="spellEnd"/>
      <w:r>
        <w:t xml:space="preserve"> були приблизно на 13 % та 22 % нижчими відповідно для </w:t>
      </w:r>
      <w:proofErr w:type="spellStart"/>
      <w:r>
        <w:t>бемпедоєвої</w:t>
      </w:r>
      <w:proofErr w:type="spellEnd"/>
      <w:r>
        <w:t xml:space="preserve"> кислоти / </w:t>
      </w:r>
      <w:proofErr w:type="spellStart"/>
      <w:r>
        <w:t>езетимібу</w:t>
      </w:r>
      <w:proofErr w:type="spellEnd"/>
      <w:r>
        <w:t xml:space="preserve"> порівняно з окремими таблетками, що приймали одночасно. Враховуючи подібний загальний ступінь експозиції </w:t>
      </w:r>
      <w:proofErr w:type="spellStart"/>
      <w:r>
        <w:t>езетимібу</w:t>
      </w:r>
      <w:proofErr w:type="spellEnd"/>
      <w:r>
        <w:t xml:space="preserve"> та </w:t>
      </w:r>
      <w:proofErr w:type="spellStart"/>
      <w:r>
        <w:t>езетимібу</w:t>
      </w:r>
      <w:proofErr w:type="spellEnd"/>
      <w:r>
        <w:t xml:space="preserve"> </w:t>
      </w:r>
      <w:proofErr w:type="spellStart"/>
      <w:r>
        <w:t>глюкуроніду</w:t>
      </w:r>
      <w:proofErr w:type="spellEnd"/>
      <w:r>
        <w:t xml:space="preserve"> (виміряний за AUC), нижча на 22 % </w:t>
      </w:r>
      <w:proofErr w:type="spellStart"/>
      <w:r>
        <w:t>C</w:t>
      </w:r>
      <w:r>
        <w:rPr>
          <w:vertAlign w:val="subscript"/>
        </w:rPr>
        <w:t>max</w:t>
      </w:r>
      <w:proofErr w:type="spellEnd"/>
      <w:r>
        <w:t xml:space="preserve"> навряд чи буде клінічно значущою. При одночасному застосуванні </w:t>
      </w:r>
      <w:proofErr w:type="spellStart"/>
      <w:r>
        <w:t>езетимібу</w:t>
      </w:r>
      <w:proofErr w:type="spellEnd"/>
      <w:r>
        <w:t xml:space="preserve"> з </w:t>
      </w:r>
      <w:proofErr w:type="spellStart"/>
      <w:r>
        <w:t>бемпедоєвою</w:t>
      </w:r>
      <w:proofErr w:type="spellEnd"/>
      <w:r>
        <w:t xml:space="preserve"> кислотою клінічно значущої </w:t>
      </w:r>
      <w:proofErr w:type="spellStart"/>
      <w:r>
        <w:t>фармакокінетичної</w:t>
      </w:r>
      <w:proofErr w:type="spellEnd"/>
      <w:r>
        <w:t xml:space="preserve"> взаємодії не спостерігалося. AUC та </w:t>
      </w:r>
      <w:proofErr w:type="spellStart"/>
      <w:r>
        <w:t>C</w:t>
      </w:r>
      <w:r>
        <w:rPr>
          <w:vertAlign w:val="subscript"/>
        </w:rPr>
        <w:t>max</w:t>
      </w:r>
      <w:proofErr w:type="spellEnd"/>
      <w:r>
        <w:t xml:space="preserve"> загального </w:t>
      </w:r>
      <w:proofErr w:type="spellStart"/>
      <w:r>
        <w:t>езетимібу</w:t>
      </w:r>
      <w:proofErr w:type="spellEnd"/>
      <w:r>
        <w:t xml:space="preserve"> (</w:t>
      </w:r>
      <w:proofErr w:type="spellStart"/>
      <w:r>
        <w:t>езетимібу</w:t>
      </w:r>
      <w:proofErr w:type="spellEnd"/>
      <w:r>
        <w:t xml:space="preserve"> та його </w:t>
      </w:r>
      <w:proofErr w:type="spellStart"/>
      <w:r>
        <w:t>глюкуронідної</w:t>
      </w:r>
      <w:proofErr w:type="spellEnd"/>
      <w:r>
        <w:t xml:space="preserve"> форми) та </w:t>
      </w:r>
      <w:proofErr w:type="spellStart"/>
      <w:r>
        <w:t>езетимібу</w:t>
      </w:r>
      <w:proofErr w:type="spellEnd"/>
      <w:r>
        <w:t xml:space="preserve"> </w:t>
      </w:r>
      <w:proofErr w:type="spellStart"/>
      <w:r>
        <w:t>глюкуроніду</w:t>
      </w:r>
      <w:proofErr w:type="spellEnd"/>
      <w:r>
        <w:t xml:space="preserve"> збільшувалися приблизно в 1,6 та 1,8 </w:t>
      </w:r>
      <w:proofErr w:type="spellStart"/>
      <w:r>
        <w:t>раза</w:t>
      </w:r>
      <w:proofErr w:type="spellEnd"/>
      <w:r>
        <w:t xml:space="preserve"> відповідно при прийомі разової дози </w:t>
      </w:r>
      <w:proofErr w:type="spellStart"/>
      <w:r>
        <w:t>езетимібу</w:t>
      </w:r>
      <w:proofErr w:type="spellEnd"/>
      <w:r>
        <w:t xml:space="preserve"> разом із </w:t>
      </w:r>
      <w:proofErr w:type="spellStart"/>
      <w:r>
        <w:t>бемпедоєвою</w:t>
      </w:r>
      <w:proofErr w:type="spellEnd"/>
      <w:r>
        <w:t xml:space="preserve"> кислотою у стаціонарному стані. Це збільшення, ймовірно, пов’язане з пригніченням OATP1B1 </w:t>
      </w:r>
      <w:proofErr w:type="spellStart"/>
      <w:r>
        <w:t>бемпедоєвою</w:t>
      </w:r>
      <w:proofErr w:type="spellEnd"/>
      <w:r>
        <w:t xml:space="preserve"> кислотою, що призводить до зниження поглинання печінкою та, як наслідок, зниження виведення </w:t>
      </w:r>
      <w:proofErr w:type="spellStart"/>
      <w:r>
        <w:t>езетимібу-глюкуроніду</w:t>
      </w:r>
      <w:proofErr w:type="spellEnd"/>
      <w:r>
        <w:t xml:space="preserve">. Збільшення AUC та </w:t>
      </w:r>
      <w:proofErr w:type="spellStart"/>
      <w:r>
        <w:t>C</w:t>
      </w:r>
      <w:r>
        <w:rPr>
          <w:vertAlign w:val="subscript"/>
        </w:rPr>
        <w:t>max</w:t>
      </w:r>
      <w:proofErr w:type="spellEnd"/>
      <w:r>
        <w:rPr>
          <w:vertAlign w:val="subscript"/>
        </w:rPr>
        <w:t xml:space="preserve"> </w:t>
      </w:r>
      <w:r>
        <w:t xml:space="preserve">для </w:t>
      </w:r>
      <w:proofErr w:type="spellStart"/>
      <w:r>
        <w:t>езетимібу</w:t>
      </w:r>
      <w:proofErr w:type="spellEnd"/>
      <w:r>
        <w:t xml:space="preserve"> становило менше ніж 20 %.</w:t>
      </w:r>
    </w:p>
    <w:p w:rsidR="00A83EAF" w:rsidRDefault="00A83EAF" w:rsidP="00A83EAF">
      <w:pPr>
        <w:pStyle w:val="a4"/>
        <w:shd w:val="clear" w:color="auto" w:fill="FFFFFF"/>
        <w:spacing w:after="0"/>
        <w:ind w:left="0"/>
        <w:jc w:val="both"/>
      </w:pPr>
      <w:proofErr w:type="spellStart"/>
      <w:r>
        <w:rPr>
          <w:i/>
          <w:iCs/>
        </w:rPr>
        <w:t>Бемпедоєва</w:t>
      </w:r>
      <w:proofErr w:type="spellEnd"/>
      <w:r>
        <w:rPr>
          <w:i/>
          <w:iCs/>
        </w:rPr>
        <w:t xml:space="preserve"> кислота</w:t>
      </w:r>
    </w:p>
    <w:p w:rsidR="00A83EAF" w:rsidRDefault="00A83EAF" w:rsidP="00A83EAF">
      <w:pPr>
        <w:pStyle w:val="a4"/>
        <w:shd w:val="clear" w:color="auto" w:fill="FFFFFF"/>
        <w:spacing w:after="0"/>
        <w:ind w:left="0"/>
        <w:jc w:val="both"/>
      </w:pPr>
      <w:proofErr w:type="spellStart"/>
      <w:r>
        <w:t>Фармакокінетичні</w:t>
      </w:r>
      <w:proofErr w:type="spellEnd"/>
      <w:r>
        <w:t xml:space="preserve"> дані вказують на те, що </w:t>
      </w:r>
      <w:proofErr w:type="spellStart"/>
      <w:r>
        <w:t>бемпедоєва</w:t>
      </w:r>
      <w:proofErr w:type="spellEnd"/>
      <w:r>
        <w:t xml:space="preserve"> кислота абсорбується з медіаною часу до досягнення максимальної концентрації 3,5 години при застосуванні у формі таблеток по 180 мг. </w:t>
      </w:r>
      <w:proofErr w:type="spellStart"/>
      <w:r>
        <w:t>Фармакокінетичні</w:t>
      </w:r>
      <w:proofErr w:type="spellEnd"/>
      <w:r>
        <w:t xml:space="preserve"> параметри </w:t>
      </w:r>
      <w:proofErr w:type="spellStart"/>
      <w:r>
        <w:t>бемпедоєвої</w:t>
      </w:r>
      <w:proofErr w:type="spellEnd"/>
      <w:r>
        <w:t xml:space="preserve"> кислоти представлені як середнє значення [стандартне відхилення (SD)], якщо не зазначено інше. </w:t>
      </w:r>
      <w:proofErr w:type="spellStart"/>
      <w:r>
        <w:t>Бемпедоєву</w:t>
      </w:r>
      <w:proofErr w:type="spellEnd"/>
      <w:r>
        <w:rPr>
          <w:lang w:val="en-US"/>
        </w:rPr>
        <w:t> </w:t>
      </w:r>
      <w:r>
        <w:t xml:space="preserve">кислоту можна вважати </w:t>
      </w:r>
      <w:proofErr w:type="spellStart"/>
      <w:r>
        <w:t>проліками</w:t>
      </w:r>
      <w:proofErr w:type="spellEnd"/>
      <w:r>
        <w:t xml:space="preserve">, що активуються </w:t>
      </w:r>
      <w:proofErr w:type="spellStart"/>
      <w:r>
        <w:t>внутрішньоклітинно</w:t>
      </w:r>
      <w:proofErr w:type="spellEnd"/>
      <w:r>
        <w:t xml:space="preserve"> за допомогою ACSVL1 до ETC-1002-CoA. Стаціонарні значення </w:t>
      </w:r>
      <w:proofErr w:type="spellStart"/>
      <w:r>
        <w:t>C</w:t>
      </w:r>
      <w:r>
        <w:rPr>
          <w:vertAlign w:val="subscript"/>
        </w:rPr>
        <w:t>max</w:t>
      </w:r>
      <w:proofErr w:type="spellEnd"/>
      <w:r>
        <w:t xml:space="preserve"> та AUC після багаторазового застосування пацієнтам з </w:t>
      </w:r>
      <w:proofErr w:type="spellStart"/>
      <w:r>
        <w:t>гіперхолестеринемією</w:t>
      </w:r>
      <w:proofErr w:type="spellEnd"/>
      <w:r>
        <w:t xml:space="preserve"> становили 24,8 (6,9) </w:t>
      </w:r>
      <w:proofErr w:type="spellStart"/>
      <w:r>
        <w:t>мкг</w:t>
      </w:r>
      <w:proofErr w:type="spellEnd"/>
      <w:r>
        <w:t>/</w:t>
      </w:r>
      <w:proofErr w:type="spellStart"/>
      <w:r>
        <w:t>мл</w:t>
      </w:r>
      <w:proofErr w:type="spellEnd"/>
      <w:r>
        <w:t xml:space="preserve"> та 348 (120)</w:t>
      </w:r>
      <w:proofErr w:type="spellStart"/>
      <w:r>
        <w:t> мкг∙го</w:t>
      </w:r>
      <w:proofErr w:type="spellEnd"/>
      <w:r>
        <w:t xml:space="preserve">д/мл відповідно. Фармакокінетика </w:t>
      </w:r>
      <w:proofErr w:type="spellStart"/>
      <w:r>
        <w:t>бемпедоєвої</w:t>
      </w:r>
      <w:proofErr w:type="spellEnd"/>
      <w:r>
        <w:t xml:space="preserve"> кислоти у стаціонарному стані була загалом лінійною в діапазоні від 120 мг до 220 мг. Не спостерігалося змін фармакокінетики </w:t>
      </w:r>
      <w:proofErr w:type="spellStart"/>
      <w:r>
        <w:t>бемпедоєвої</w:t>
      </w:r>
      <w:proofErr w:type="spellEnd"/>
      <w:r>
        <w:t xml:space="preserve"> кислоти, що залежать від часу, після повторного застосування у рекомендованій дозі, а стаціонарний стан </w:t>
      </w:r>
      <w:proofErr w:type="spellStart"/>
      <w:r>
        <w:t>бемпедоєвої</w:t>
      </w:r>
      <w:proofErr w:type="spellEnd"/>
      <w:r>
        <w:t xml:space="preserve"> кислоти був досягнутий через 7 днів. Середній коефіцієнт накопичення </w:t>
      </w:r>
      <w:proofErr w:type="spellStart"/>
      <w:r>
        <w:t>бемпедоєвої</w:t>
      </w:r>
      <w:proofErr w:type="spellEnd"/>
      <w:r>
        <w:t xml:space="preserve"> кислоти становив приблизно 2,3-кратний.</w:t>
      </w:r>
    </w:p>
    <w:p w:rsidR="00A83EAF" w:rsidRDefault="00A83EAF" w:rsidP="00A83EAF">
      <w:pPr>
        <w:pStyle w:val="a4"/>
        <w:shd w:val="clear" w:color="auto" w:fill="FFFFFF"/>
        <w:spacing w:after="0"/>
        <w:ind w:left="0"/>
        <w:jc w:val="both"/>
      </w:pPr>
      <w:proofErr w:type="spellStart"/>
      <w:r>
        <w:rPr>
          <w:i/>
          <w:iCs/>
        </w:rPr>
        <w:t>Езетиміб</w:t>
      </w:r>
      <w:proofErr w:type="spellEnd"/>
    </w:p>
    <w:p w:rsidR="00A83EAF" w:rsidRDefault="00A83EAF" w:rsidP="00A83EAF">
      <w:pPr>
        <w:pStyle w:val="a4"/>
        <w:shd w:val="clear" w:color="auto" w:fill="FFFFFF"/>
        <w:spacing w:after="0"/>
        <w:ind w:left="0"/>
        <w:jc w:val="both"/>
      </w:pPr>
      <w:r>
        <w:t xml:space="preserve">Після перорального застосування </w:t>
      </w:r>
      <w:proofErr w:type="spellStart"/>
      <w:r>
        <w:t>езетиміб</w:t>
      </w:r>
      <w:proofErr w:type="spellEnd"/>
      <w:r>
        <w:t xml:space="preserve"> швидко абсорбується та екстенсивно </w:t>
      </w:r>
      <w:proofErr w:type="spellStart"/>
      <w:r>
        <w:t>кон’югується</w:t>
      </w:r>
      <w:proofErr w:type="spellEnd"/>
      <w:r>
        <w:t xml:space="preserve"> з </w:t>
      </w:r>
      <w:proofErr w:type="spellStart"/>
      <w:r>
        <w:t>фармакологічно</w:t>
      </w:r>
      <w:proofErr w:type="spellEnd"/>
      <w:r>
        <w:t xml:space="preserve"> активним фенольним </w:t>
      </w:r>
      <w:proofErr w:type="spellStart"/>
      <w:r>
        <w:t>глюкуронідом</w:t>
      </w:r>
      <w:proofErr w:type="spellEnd"/>
      <w:r>
        <w:t xml:space="preserve"> (</w:t>
      </w:r>
      <w:proofErr w:type="spellStart"/>
      <w:r>
        <w:t>езетиміб-глюкуронід</w:t>
      </w:r>
      <w:proofErr w:type="spellEnd"/>
      <w:r>
        <w:t xml:space="preserve">). Середня </w:t>
      </w:r>
      <w:proofErr w:type="spellStart"/>
      <w:r>
        <w:t>C</w:t>
      </w:r>
      <w:r>
        <w:rPr>
          <w:vertAlign w:val="subscript"/>
        </w:rPr>
        <w:t>max</w:t>
      </w:r>
      <w:proofErr w:type="spellEnd"/>
      <w:r>
        <w:t xml:space="preserve"> досягається протягом 1-2 годин для </w:t>
      </w:r>
      <w:proofErr w:type="spellStart"/>
      <w:r>
        <w:t>езетимібу-глюкуроніду</w:t>
      </w:r>
      <w:proofErr w:type="spellEnd"/>
      <w:r>
        <w:t xml:space="preserve"> та від 4 до 12 годин для </w:t>
      </w:r>
      <w:proofErr w:type="spellStart"/>
      <w:r>
        <w:t>езетимібу</w:t>
      </w:r>
      <w:proofErr w:type="spellEnd"/>
      <w:r>
        <w:t xml:space="preserve">. Абсолютну </w:t>
      </w:r>
      <w:proofErr w:type="spellStart"/>
      <w:r>
        <w:t>біодоступність</w:t>
      </w:r>
      <w:proofErr w:type="spellEnd"/>
      <w:r>
        <w:t xml:space="preserve"> </w:t>
      </w:r>
      <w:proofErr w:type="spellStart"/>
      <w:r>
        <w:t>езетимібу</w:t>
      </w:r>
      <w:proofErr w:type="spellEnd"/>
      <w:r>
        <w:t xml:space="preserve"> неможливо визначити, оскільки сполука практично нерозчинна у водних середовищах, придатних для ін’єкцій. </w:t>
      </w:r>
      <w:proofErr w:type="spellStart"/>
      <w:r>
        <w:t>Езетиміб</w:t>
      </w:r>
      <w:proofErr w:type="spellEnd"/>
      <w:r>
        <w:t xml:space="preserve"> зазнає значного </w:t>
      </w:r>
      <w:proofErr w:type="spellStart"/>
      <w:r>
        <w:t>ентерогепатичного</w:t>
      </w:r>
      <w:proofErr w:type="spellEnd"/>
      <w:r>
        <w:t xml:space="preserve"> циклу, можна спостерігати множинні піки </w:t>
      </w:r>
      <w:proofErr w:type="spellStart"/>
      <w:r>
        <w:t>езетимібу</w:t>
      </w:r>
      <w:proofErr w:type="spellEnd"/>
      <w:r>
        <w:t>.</w:t>
      </w:r>
    </w:p>
    <w:p w:rsidR="00A83EAF" w:rsidRDefault="00A83EAF" w:rsidP="00A83EAF">
      <w:pPr>
        <w:pStyle w:val="a4"/>
        <w:shd w:val="clear" w:color="auto" w:fill="FFFFFF"/>
        <w:spacing w:after="0"/>
        <w:ind w:left="0"/>
        <w:jc w:val="both"/>
        <w:rPr>
          <w:i/>
          <w:u w:val="single"/>
        </w:rPr>
      </w:pPr>
      <w:r>
        <w:rPr>
          <w:i/>
          <w:u w:val="single"/>
        </w:rPr>
        <w:t>Вплив їжі</w:t>
      </w:r>
    </w:p>
    <w:p w:rsidR="00A83EAF" w:rsidRDefault="00A83EAF" w:rsidP="00A83EAF">
      <w:pPr>
        <w:pStyle w:val="a4"/>
        <w:shd w:val="clear" w:color="auto" w:fill="FFFFFF"/>
        <w:spacing w:after="0"/>
        <w:ind w:left="0"/>
        <w:jc w:val="both"/>
      </w:pPr>
      <w:r>
        <w:lastRenderedPageBreak/>
        <w:t xml:space="preserve">Після прийому </w:t>
      </w:r>
      <w:proofErr w:type="spellStart"/>
      <w:r>
        <w:t>бемпедоєвої</w:t>
      </w:r>
      <w:proofErr w:type="spellEnd"/>
      <w:r>
        <w:t xml:space="preserve"> кислоти / </w:t>
      </w:r>
      <w:proofErr w:type="spellStart"/>
      <w:r>
        <w:t>езетимібу</w:t>
      </w:r>
      <w:proofErr w:type="spellEnd"/>
      <w:r>
        <w:t xml:space="preserve"> зі сніданком з високим вмістом жирів та калорій у здорових осіб, AUC для </w:t>
      </w:r>
      <w:proofErr w:type="spellStart"/>
      <w:r>
        <w:t>бемпедоєвої</w:t>
      </w:r>
      <w:proofErr w:type="spellEnd"/>
      <w:r>
        <w:t xml:space="preserve"> кислоти та </w:t>
      </w:r>
      <w:proofErr w:type="spellStart"/>
      <w:r>
        <w:t>езетимібу</w:t>
      </w:r>
      <w:proofErr w:type="spellEnd"/>
      <w:r>
        <w:t xml:space="preserve"> була порівнянною з показниками натщесерце. Порівняно зі станом натщесерце, стан після сніданку призвів до зниження </w:t>
      </w:r>
      <w:proofErr w:type="spellStart"/>
      <w:r>
        <w:t>C</w:t>
      </w:r>
      <w:r>
        <w:rPr>
          <w:vertAlign w:val="subscript"/>
        </w:rPr>
        <w:t>max</w:t>
      </w:r>
      <w:proofErr w:type="spellEnd"/>
      <w:r>
        <w:rPr>
          <w:vertAlign w:val="subscript"/>
        </w:rPr>
        <w:t xml:space="preserve"> </w:t>
      </w:r>
      <w:proofErr w:type="spellStart"/>
      <w:r>
        <w:t>бемпедоєвої</w:t>
      </w:r>
      <w:proofErr w:type="spellEnd"/>
      <w:r>
        <w:t xml:space="preserve"> кислоти та </w:t>
      </w:r>
      <w:proofErr w:type="spellStart"/>
      <w:r>
        <w:t>езетимібу</w:t>
      </w:r>
      <w:proofErr w:type="spellEnd"/>
      <w:r>
        <w:t xml:space="preserve"> на 30 % та 12 % відповідно. Порівняно зі станом натщесерце, стан після сніданку призвів до зниження AUC та </w:t>
      </w:r>
      <w:proofErr w:type="spellStart"/>
      <w:r>
        <w:t>C</w:t>
      </w:r>
      <w:r>
        <w:rPr>
          <w:vertAlign w:val="subscript"/>
        </w:rPr>
        <w:t>max</w:t>
      </w:r>
      <w:proofErr w:type="spellEnd"/>
      <w:r>
        <w:t xml:space="preserve"> </w:t>
      </w:r>
      <w:proofErr w:type="spellStart"/>
      <w:r>
        <w:t>езетимібу</w:t>
      </w:r>
      <w:proofErr w:type="spellEnd"/>
      <w:r>
        <w:t xml:space="preserve"> </w:t>
      </w:r>
      <w:proofErr w:type="spellStart"/>
      <w:r>
        <w:t>глюкуроніду</w:t>
      </w:r>
      <w:proofErr w:type="spellEnd"/>
      <w:r>
        <w:t xml:space="preserve"> на 12 % та 42 % відповідно. Цей вплив їжі не вважається клінічно значущим. </w:t>
      </w:r>
      <w:r>
        <w:rPr>
          <w:i/>
        </w:rPr>
        <w:t>Розподіл</w:t>
      </w:r>
    </w:p>
    <w:p w:rsidR="00A83EAF" w:rsidRDefault="00A83EAF" w:rsidP="00A83EAF">
      <w:pPr>
        <w:pStyle w:val="a4"/>
        <w:shd w:val="clear" w:color="auto" w:fill="FFFFFF"/>
        <w:spacing w:after="0"/>
        <w:ind w:left="0"/>
        <w:jc w:val="both"/>
      </w:pPr>
      <w:proofErr w:type="spellStart"/>
      <w:r>
        <w:rPr>
          <w:i/>
          <w:iCs/>
        </w:rPr>
        <w:t>Бемпедоєва</w:t>
      </w:r>
      <w:proofErr w:type="spellEnd"/>
      <w:r>
        <w:rPr>
          <w:i/>
          <w:iCs/>
        </w:rPr>
        <w:t xml:space="preserve"> кислота</w:t>
      </w:r>
    </w:p>
    <w:p w:rsidR="00A83EAF" w:rsidRDefault="00A83EAF" w:rsidP="00A83EAF">
      <w:pPr>
        <w:pStyle w:val="a4"/>
        <w:shd w:val="clear" w:color="auto" w:fill="FFFFFF"/>
        <w:spacing w:after="0"/>
        <w:ind w:left="0"/>
        <w:jc w:val="both"/>
      </w:pPr>
      <w:r>
        <w:t xml:space="preserve">Видимий об’єм розподілу (V/F) </w:t>
      </w:r>
      <w:proofErr w:type="spellStart"/>
      <w:r>
        <w:t>бемпедоєвої</w:t>
      </w:r>
      <w:proofErr w:type="spellEnd"/>
      <w:r>
        <w:t xml:space="preserve"> кислоти становив 18 л. Зв’язування </w:t>
      </w:r>
      <w:proofErr w:type="spellStart"/>
      <w:r>
        <w:t>бемпедоєвої</w:t>
      </w:r>
      <w:proofErr w:type="spellEnd"/>
      <w:r>
        <w:t xml:space="preserve"> кислоти, її </w:t>
      </w:r>
      <w:proofErr w:type="spellStart"/>
      <w:r>
        <w:t>глюкуроніду</w:t>
      </w:r>
      <w:proofErr w:type="spellEnd"/>
      <w:r>
        <w:t xml:space="preserve"> та її активного метаболіту ESP15228 з білками плазми крові становило 99,3 %, 98,8 % та 99,2 % відповідно. </w:t>
      </w:r>
      <w:proofErr w:type="spellStart"/>
      <w:r>
        <w:t>Бемпедоєва</w:t>
      </w:r>
      <w:proofErr w:type="spellEnd"/>
      <w:r>
        <w:t xml:space="preserve"> кислота не проникає в еритроцити.</w:t>
      </w:r>
    </w:p>
    <w:p w:rsidR="00A83EAF" w:rsidRDefault="00A83EAF" w:rsidP="00A83EAF">
      <w:pPr>
        <w:pStyle w:val="a4"/>
        <w:shd w:val="clear" w:color="auto" w:fill="FFFFFF"/>
        <w:spacing w:after="0"/>
        <w:ind w:left="0"/>
        <w:jc w:val="both"/>
      </w:pPr>
      <w:proofErr w:type="spellStart"/>
      <w:r>
        <w:rPr>
          <w:i/>
          <w:iCs/>
        </w:rPr>
        <w:t>Езетиміб</w:t>
      </w:r>
      <w:proofErr w:type="spellEnd"/>
    </w:p>
    <w:p w:rsidR="00A83EAF" w:rsidRDefault="00A83EAF" w:rsidP="00A83EAF">
      <w:pPr>
        <w:pStyle w:val="a4"/>
        <w:shd w:val="clear" w:color="auto" w:fill="FFFFFF"/>
        <w:spacing w:after="0"/>
        <w:ind w:left="0"/>
        <w:jc w:val="both"/>
      </w:pPr>
      <w:proofErr w:type="spellStart"/>
      <w:r>
        <w:t>Езетиміб</w:t>
      </w:r>
      <w:proofErr w:type="spellEnd"/>
      <w:r>
        <w:t xml:space="preserve"> та </w:t>
      </w:r>
      <w:proofErr w:type="spellStart"/>
      <w:r>
        <w:t>езетиміб-глюкуронід</w:t>
      </w:r>
      <w:proofErr w:type="spellEnd"/>
      <w:r>
        <w:t xml:space="preserve"> зв’язуються з білками плазми крові людини на 99,7 % та від 88 % до 92 % відповідно.</w:t>
      </w:r>
    </w:p>
    <w:p w:rsidR="00A83EAF" w:rsidRDefault="00A83EAF" w:rsidP="00A83EAF">
      <w:pPr>
        <w:pStyle w:val="smpc-subtitle"/>
        <w:shd w:val="clear" w:color="auto" w:fill="FFFFFF"/>
        <w:spacing w:before="0" w:beforeAutospacing="0" w:after="0" w:afterAutospacing="0"/>
        <w:jc w:val="both"/>
        <w:rPr>
          <w:i/>
        </w:rPr>
      </w:pPr>
      <w:proofErr w:type="spellStart"/>
      <w:r>
        <w:rPr>
          <w:i/>
        </w:rPr>
        <w:t>Біотрансформація</w:t>
      </w:r>
      <w:proofErr w:type="spellEnd"/>
    </w:p>
    <w:p w:rsidR="00A83EAF" w:rsidRDefault="00A83EAF" w:rsidP="00A83EAF">
      <w:pPr>
        <w:pStyle w:val="a4"/>
        <w:shd w:val="clear" w:color="auto" w:fill="FFFFFF"/>
        <w:spacing w:after="0"/>
        <w:ind w:left="0"/>
        <w:jc w:val="both"/>
      </w:pPr>
      <w:proofErr w:type="spellStart"/>
      <w:r>
        <w:rPr>
          <w:i/>
          <w:iCs/>
        </w:rPr>
        <w:t>Бемпедоєва</w:t>
      </w:r>
      <w:proofErr w:type="spellEnd"/>
      <w:r>
        <w:rPr>
          <w:i/>
          <w:iCs/>
        </w:rPr>
        <w:t xml:space="preserve"> кислота</w:t>
      </w:r>
    </w:p>
    <w:p w:rsidR="00A83EAF" w:rsidRDefault="00A83EAF" w:rsidP="00A83EAF">
      <w:pPr>
        <w:pStyle w:val="a4"/>
        <w:shd w:val="clear" w:color="auto" w:fill="FFFFFF"/>
        <w:spacing w:after="0"/>
        <w:ind w:left="0"/>
        <w:jc w:val="both"/>
      </w:pPr>
      <w:r>
        <w:rPr>
          <w:i/>
          <w:iCs/>
        </w:rPr>
        <w:t xml:space="preserve">Дослідження метаболічної взаємодії </w:t>
      </w:r>
      <w:proofErr w:type="spellStart"/>
      <w:r>
        <w:rPr>
          <w:i/>
          <w:iCs/>
        </w:rPr>
        <w:t>in</w:t>
      </w:r>
      <w:proofErr w:type="spellEnd"/>
      <w:r>
        <w:rPr>
          <w:i/>
          <w:iCs/>
        </w:rPr>
        <w:t xml:space="preserve"> </w:t>
      </w:r>
      <w:proofErr w:type="spellStart"/>
      <w:r>
        <w:rPr>
          <w:i/>
          <w:iCs/>
        </w:rPr>
        <w:t>vitro</w:t>
      </w:r>
      <w:proofErr w:type="spellEnd"/>
      <w:r>
        <w:t xml:space="preserve"> показують, що </w:t>
      </w:r>
      <w:proofErr w:type="spellStart"/>
      <w:r>
        <w:t>бемпедоєва</w:t>
      </w:r>
      <w:proofErr w:type="spellEnd"/>
      <w:r>
        <w:t xml:space="preserve"> кислота, а також її активний метаболіт та </w:t>
      </w:r>
      <w:proofErr w:type="spellStart"/>
      <w:r>
        <w:t>глюкуронідні</w:t>
      </w:r>
      <w:proofErr w:type="spellEnd"/>
      <w:r>
        <w:t xml:space="preserve"> форми не </w:t>
      </w:r>
      <w:proofErr w:type="spellStart"/>
      <w:r>
        <w:t>метаболізуються</w:t>
      </w:r>
      <w:proofErr w:type="spellEnd"/>
      <w:r>
        <w:t xml:space="preserve"> ферментами цитохрому P450 та не інгібують їх і не індукують.</w:t>
      </w:r>
    </w:p>
    <w:p w:rsidR="00A83EAF" w:rsidRDefault="00A83EAF" w:rsidP="00A83EAF">
      <w:pPr>
        <w:pStyle w:val="a4"/>
        <w:shd w:val="clear" w:color="auto" w:fill="FFFFFF"/>
        <w:spacing w:after="0"/>
        <w:ind w:left="0"/>
        <w:jc w:val="both"/>
      </w:pPr>
      <w:r>
        <w:t xml:space="preserve">Основним шляхом виведення </w:t>
      </w:r>
      <w:proofErr w:type="spellStart"/>
      <w:r>
        <w:t>бемпедоєвої</w:t>
      </w:r>
      <w:proofErr w:type="spellEnd"/>
      <w:r>
        <w:t xml:space="preserve"> кислоти є метаболізм до </w:t>
      </w:r>
      <w:proofErr w:type="spellStart"/>
      <w:r>
        <w:t>ацилглюкуроніду</w:t>
      </w:r>
      <w:proofErr w:type="spellEnd"/>
      <w:r>
        <w:t xml:space="preserve">. </w:t>
      </w:r>
      <w:proofErr w:type="spellStart"/>
      <w:r>
        <w:t>Бемпедоєва</w:t>
      </w:r>
      <w:proofErr w:type="spellEnd"/>
      <w:r>
        <w:t xml:space="preserve"> кислота також </w:t>
      </w:r>
      <w:proofErr w:type="spellStart"/>
      <w:r>
        <w:t>оборотно</w:t>
      </w:r>
      <w:proofErr w:type="spellEnd"/>
      <w:r>
        <w:t xml:space="preserve"> перетворюється на активний метаболіт (ESP15228) на основі активності </w:t>
      </w:r>
      <w:proofErr w:type="spellStart"/>
      <w:r>
        <w:t>альдо-кеторедуктази</w:t>
      </w:r>
      <w:proofErr w:type="spellEnd"/>
      <w:r>
        <w:t xml:space="preserve">, що спостерігається </w:t>
      </w:r>
      <w:proofErr w:type="spellStart"/>
      <w:r>
        <w:rPr>
          <w:i/>
          <w:iCs/>
        </w:rPr>
        <w:t>in</w:t>
      </w:r>
      <w:proofErr w:type="spellEnd"/>
      <w:r>
        <w:rPr>
          <w:i/>
          <w:iCs/>
        </w:rPr>
        <w:t xml:space="preserve"> </w:t>
      </w:r>
      <w:proofErr w:type="spellStart"/>
      <w:r>
        <w:rPr>
          <w:i/>
          <w:iCs/>
        </w:rPr>
        <w:t>vitro</w:t>
      </w:r>
      <w:proofErr w:type="spellEnd"/>
      <w:r>
        <w:t xml:space="preserve"> в печінці людини. Середнє співвідношення AUC метаболіту / вихідного засобу у плазмі крові для ESP15228 після повторного введення становило 18 % і залишалося незмінним з часом. </w:t>
      </w:r>
      <w:proofErr w:type="spellStart"/>
      <w:r>
        <w:t>Як бемпедо</w:t>
      </w:r>
      <w:proofErr w:type="spellEnd"/>
      <w:r>
        <w:t xml:space="preserve">єва кислота, так і ESP15228 перетворюються на неактивні </w:t>
      </w:r>
      <w:proofErr w:type="spellStart"/>
      <w:r>
        <w:t>глюкуронідні</w:t>
      </w:r>
      <w:proofErr w:type="spellEnd"/>
      <w:r>
        <w:t xml:space="preserve"> </w:t>
      </w:r>
      <w:proofErr w:type="spellStart"/>
      <w:r>
        <w:t>кон’югати</w:t>
      </w:r>
      <w:proofErr w:type="spellEnd"/>
      <w:r>
        <w:t xml:space="preserve"> </w:t>
      </w:r>
      <w:proofErr w:type="spellStart"/>
      <w:r>
        <w:rPr>
          <w:i/>
          <w:iCs/>
        </w:rPr>
        <w:t>in</w:t>
      </w:r>
      <w:proofErr w:type="spellEnd"/>
      <w:r>
        <w:rPr>
          <w:i/>
          <w:iCs/>
        </w:rPr>
        <w:t xml:space="preserve"> </w:t>
      </w:r>
      <w:proofErr w:type="spellStart"/>
      <w:r>
        <w:rPr>
          <w:i/>
          <w:iCs/>
        </w:rPr>
        <w:t>vitro</w:t>
      </w:r>
      <w:proofErr w:type="spellEnd"/>
      <w:r>
        <w:t xml:space="preserve"> за допомогою UDP-глюкуронозилтрансферази-2B7 (UGT2B7). </w:t>
      </w:r>
      <w:proofErr w:type="spellStart"/>
      <w:r>
        <w:t>Бемпедоєва</w:t>
      </w:r>
      <w:proofErr w:type="spellEnd"/>
      <w:r>
        <w:t xml:space="preserve"> кислота, ESP15228 та їх відповідні </w:t>
      </w:r>
      <w:proofErr w:type="spellStart"/>
      <w:r>
        <w:t>кон’юговані</w:t>
      </w:r>
      <w:proofErr w:type="spellEnd"/>
      <w:r>
        <w:t xml:space="preserve"> форми були виявлені у плазмі крові, причому </w:t>
      </w:r>
      <w:proofErr w:type="spellStart"/>
      <w:r>
        <w:t>бемпедоєва</w:t>
      </w:r>
      <w:proofErr w:type="spellEnd"/>
      <w:r>
        <w:t xml:space="preserve"> кислота становила більшість (46 %) AUC 0-48h, а її </w:t>
      </w:r>
      <w:proofErr w:type="spellStart"/>
      <w:r>
        <w:t>глюкуронід</w:t>
      </w:r>
      <w:proofErr w:type="spellEnd"/>
      <w:r>
        <w:t xml:space="preserve"> був наступним за поширеністю (30 %). ESP15228 та його </w:t>
      </w:r>
      <w:proofErr w:type="spellStart"/>
      <w:r>
        <w:t>глюкуронід</w:t>
      </w:r>
      <w:proofErr w:type="spellEnd"/>
      <w:r>
        <w:t xml:space="preserve"> становили 10 % та 11 % AUC 0</w:t>
      </w:r>
      <w:r>
        <w:noBreakHyphen/>
        <w:t xml:space="preserve">48 </w:t>
      </w:r>
      <w:proofErr w:type="spellStart"/>
      <w:r>
        <w:t>год</w:t>
      </w:r>
      <w:proofErr w:type="spellEnd"/>
      <w:r>
        <w:t xml:space="preserve"> плазми крові відповідно.</w:t>
      </w:r>
      <w:r>
        <w:rPr>
          <w:lang w:val="ru-RU"/>
        </w:rPr>
        <w:t xml:space="preserve"> </w:t>
      </w:r>
      <w:r>
        <w:t xml:space="preserve">Стаціонарні значення </w:t>
      </w:r>
      <w:proofErr w:type="spellStart"/>
      <w:r>
        <w:t>C</w:t>
      </w:r>
      <w:r>
        <w:rPr>
          <w:vertAlign w:val="subscript"/>
        </w:rPr>
        <w:t>max</w:t>
      </w:r>
      <w:proofErr w:type="spellEnd"/>
      <w:r>
        <w:t xml:space="preserve"> та AUC </w:t>
      </w:r>
      <w:proofErr w:type="spellStart"/>
      <w:r>
        <w:t>еквіпотентного</w:t>
      </w:r>
      <w:proofErr w:type="spellEnd"/>
      <w:r>
        <w:t xml:space="preserve"> активного метаболіту (ESP15228) </w:t>
      </w:r>
      <w:proofErr w:type="spellStart"/>
      <w:r>
        <w:t>бемпедоєвої</w:t>
      </w:r>
      <w:proofErr w:type="spellEnd"/>
      <w:r>
        <w:t xml:space="preserve"> кислоти у пацієнтів з </w:t>
      </w:r>
      <w:proofErr w:type="spellStart"/>
      <w:r>
        <w:t>гіперхолестеринемією</w:t>
      </w:r>
      <w:proofErr w:type="spellEnd"/>
      <w:r>
        <w:t xml:space="preserve"> становили 3,0 (1,4) мікрограм/</w:t>
      </w:r>
      <w:proofErr w:type="spellStart"/>
      <w:r>
        <w:t>мл</w:t>
      </w:r>
      <w:proofErr w:type="spellEnd"/>
      <w:r>
        <w:t xml:space="preserve"> та 54,1 (26,4) </w:t>
      </w:r>
      <w:proofErr w:type="spellStart"/>
      <w:r>
        <w:t>мікрограм∙год</w:t>
      </w:r>
      <w:proofErr w:type="spellEnd"/>
      <w:r>
        <w:t>/</w:t>
      </w:r>
      <w:proofErr w:type="spellStart"/>
      <w:r>
        <w:t>мл</w:t>
      </w:r>
      <w:proofErr w:type="spellEnd"/>
      <w:r>
        <w:t xml:space="preserve"> відповідно. ESP15228, ймовірно, вносив незначний внесок у загальну клінічну активність </w:t>
      </w:r>
      <w:proofErr w:type="spellStart"/>
      <w:r>
        <w:t>бемпедоєвої</w:t>
      </w:r>
      <w:proofErr w:type="spellEnd"/>
      <w:r>
        <w:t xml:space="preserve"> кислоти, виходячи з системної експозиції та </w:t>
      </w:r>
      <w:proofErr w:type="spellStart"/>
      <w:r>
        <w:t>фармакокінетичних</w:t>
      </w:r>
      <w:proofErr w:type="spellEnd"/>
      <w:r>
        <w:t xml:space="preserve"> властивостей.</w:t>
      </w:r>
    </w:p>
    <w:p w:rsidR="00A83EAF" w:rsidRDefault="00A83EAF" w:rsidP="00A83EAF">
      <w:pPr>
        <w:pStyle w:val="a4"/>
        <w:shd w:val="clear" w:color="auto" w:fill="FFFFFF"/>
        <w:spacing w:after="0"/>
        <w:ind w:left="0"/>
        <w:jc w:val="both"/>
      </w:pPr>
      <w:proofErr w:type="spellStart"/>
      <w:r>
        <w:rPr>
          <w:i/>
          <w:iCs/>
        </w:rPr>
        <w:t>Езетиміб</w:t>
      </w:r>
      <w:proofErr w:type="spellEnd"/>
    </w:p>
    <w:p w:rsidR="00A83EAF" w:rsidRDefault="00A83EAF" w:rsidP="00A83EAF">
      <w:pPr>
        <w:pStyle w:val="a4"/>
        <w:shd w:val="clear" w:color="auto" w:fill="FFFFFF"/>
        <w:spacing w:after="0"/>
        <w:ind w:left="0"/>
        <w:jc w:val="both"/>
      </w:pPr>
      <w:r>
        <w:t xml:space="preserve">У </w:t>
      </w:r>
      <w:proofErr w:type="spellStart"/>
      <w:r>
        <w:t>доклінічних</w:t>
      </w:r>
      <w:proofErr w:type="spellEnd"/>
      <w:r>
        <w:t xml:space="preserve"> дослідженнях було показано, що </w:t>
      </w:r>
      <w:proofErr w:type="spellStart"/>
      <w:r>
        <w:t>езетиміб</w:t>
      </w:r>
      <w:proofErr w:type="spellEnd"/>
      <w:r>
        <w:t xml:space="preserve"> не індукує ферменти цитохрому P450, що </w:t>
      </w:r>
      <w:proofErr w:type="spellStart"/>
      <w:r>
        <w:t>метаболізують</w:t>
      </w:r>
      <w:proofErr w:type="spellEnd"/>
      <w:r>
        <w:t xml:space="preserve"> ліки. Клінічно значущих </w:t>
      </w:r>
      <w:proofErr w:type="spellStart"/>
      <w:r>
        <w:t>фармакокінетичних</w:t>
      </w:r>
      <w:proofErr w:type="spellEnd"/>
      <w:r>
        <w:t xml:space="preserve"> взаємодій між </w:t>
      </w:r>
      <w:proofErr w:type="spellStart"/>
      <w:r>
        <w:t>езетимібом</w:t>
      </w:r>
      <w:proofErr w:type="spellEnd"/>
      <w:r>
        <w:t xml:space="preserve"> та лікарськими засобами, які, як відомо, </w:t>
      </w:r>
      <w:proofErr w:type="spellStart"/>
      <w:r>
        <w:t>метаболізуються</w:t>
      </w:r>
      <w:proofErr w:type="spellEnd"/>
      <w:r>
        <w:t xml:space="preserve"> цитохромами P450 1A2, 2D6, 2C8, 2C9 та 3A4 або N-</w:t>
      </w:r>
      <w:proofErr w:type="spellStart"/>
      <w:r>
        <w:t>ацетилтрансферазою</w:t>
      </w:r>
      <w:proofErr w:type="spellEnd"/>
      <w:r>
        <w:t xml:space="preserve">, не спостерігалося. </w:t>
      </w:r>
      <w:proofErr w:type="spellStart"/>
      <w:r>
        <w:t>Езетиміб метабо</w:t>
      </w:r>
      <w:proofErr w:type="spellEnd"/>
      <w:r>
        <w:t xml:space="preserve">лізується переважно у тонкому кишечнику та печінці шляхом кон’югації </w:t>
      </w:r>
      <w:proofErr w:type="spellStart"/>
      <w:r>
        <w:t>глюкуронідів</w:t>
      </w:r>
      <w:proofErr w:type="spellEnd"/>
      <w:r>
        <w:t xml:space="preserve"> (реакція II фази) з подальшим виведенням з жовчю. У всіх досліджених видів спостерігався мінімальний окислювальний метаболізм (реакція I фази). </w:t>
      </w:r>
      <w:proofErr w:type="spellStart"/>
      <w:r>
        <w:t>Езетиміб</w:t>
      </w:r>
      <w:proofErr w:type="spellEnd"/>
      <w:r>
        <w:t xml:space="preserve"> та </w:t>
      </w:r>
      <w:proofErr w:type="spellStart"/>
      <w:r>
        <w:t>езетиміб-глюкуронід</w:t>
      </w:r>
      <w:proofErr w:type="spellEnd"/>
      <w:r>
        <w:t xml:space="preserve"> є основними сполуками, що походять від лікарського засобу, що виявляються у плазмі крові, складаючи приблизно від 10 % до 20 % та від 80 % до 90 % від загальної кількості засобу у плазмі крові відповідно. Як </w:t>
      </w:r>
      <w:proofErr w:type="spellStart"/>
      <w:r>
        <w:t>езетиміб</w:t>
      </w:r>
      <w:proofErr w:type="spellEnd"/>
      <w:r>
        <w:t xml:space="preserve">, так і </w:t>
      </w:r>
      <w:proofErr w:type="spellStart"/>
      <w:r>
        <w:t>езетиміб-</w:t>
      </w:r>
      <w:r>
        <w:lastRenderedPageBreak/>
        <w:t>глюкуронід</w:t>
      </w:r>
      <w:proofErr w:type="spellEnd"/>
      <w:r>
        <w:t xml:space="preserve"> повільно виводяться з плазми крові з ознаками значної </w:t>
      </w:r>
      <w:proofErr w:type="spellStart"/>
      <w:r>
        <w:t>ентерогепатичної</w:t>
      </w:r>
      <w:proofErr w:type="spellEnd"/>
      <w:r>
        <w:t xml:space="preserve"> рециркуляції.</w:t>
      </w:r>
    </w:p>
    <w:p w:rsidR="00A83EAF" w:rsidRDefault="00A83EAF" w:rsidP="00A83EAF">
      <w:pPr>
        <w:pStyle w:val="a4"/>
        <w:shd w:val="clear" w:color="auto" w:fill="FFFFFF"/>
        <w:spacing w:after="0"/>
        <w:ind w:left="0"/>
        <w:jc w:val="both"/>
      </w:pPr>
      <w:r>
        <w:rPr>
          <w:i/>
        </w:rPr>
        <w:t>Виведення</w:t>
      </w:r>
    </w:p>
    <w:p w:rsidR="00A83EAF" w:rsidRDefault="00A83EAF" w:rsidP="00A83EAF">
      <w:pPr>
        <w:pStyle w:val="a4"/>
        <w:shd w:val="clear" w:color="auto" w:fill="FFFFFF"/>
        <w:spacing w:after="0"/>
        <w:ind w:left="0"/>
        <w:jc w:val="both"/>
      </w:pPr>
      <w:proofErr w:type="spellStart"/>
      <w:r>
        <w:rPr>
          <w:i/>
          <w:iCs/>
        </w:rPr>
        <w:t>Бемпедоєва</w:t>
      </w:r>
      <w:proofErr w:type="spellEnd"/>
      <w:r>
        <w:rPr>
          <w:i/>
          <w:iCs/>
        </w:rPr>
        <w:t xml:space="preserve"> кислота</w:t>
      </w:r>
    </w:p>
    <w:p w:rsidR="00A83EAF" w:rsidRDefault="00A83EAF" w:rsidP="00A83EAF">
      <w:pPr>
        <w:pStyle w:val="a4"/>
        <w:shd w:val="clear" w:color="auto" w:fill="FFFFFF"/>
        <w:spacing w:after="0"/>
        <w:ind w:left="0"/>
        <w:jc w:val="both"/>
      </w:pPr>
      <w:r>
        <w:t xml:space="preserve">Стаціонарний кліренс (CL/F) </w:t>
      </w:r>
      <w:proofErr w:type="spellStart"/>
      <w:r>
        <w:t>бемпедоєвої</w:t>
      </w:r>
      <w:proofErr w:type="spellEnd"/>
      <w:r>
        <w:t xml:space="preserve"> кислоти, визначений за допомогою </w:t>
      </w:r>
      <w:proofErr w:type="spellStart"/>
      <w:r>
        <w:t>фармакокінетичного</w:t>
      </w:r>
      <w:proofErr w:type="spellEnd"/>
      <w:r>
        <w:t xml:space="preserve"> (ФК) аналізу популяції у пацієнтів з </w:t>
      </w:r>
      <w:proofErr w:type="spellStart"/>
      <w:r>
        <w:t>гіперхолестеринемією</w:t>
      </w:r>
      <w:proofErr w:type="spellEnd"/>
      <w:r>
        <w:t xml:space="preserve">, становив 12,1 </w:t>
      </w:r>
      <w:proofErr w:type="spellStart"/>
      <w:r>
        <w:t>мл</w:t>
      </w:r>
      <w:proofErr w:type="spellEnd"/>
      <w:r>
        <w:t>/</w:t>
      </w:r>
      <w:proofErr w:type="spellStart"/>
      <w:r>
        <w:t>хв</w:t>
      </w:r>
      <w:proofErr w:type="spellEnd"/>
      <w:r>
        <w:t xml:space="preserve"> після одноразового щоденного прийому; нирковий кліренс незміненої </w:t>
      </w:r>
      <w:proofErr w:type="spellStart"/>
      <w:r>
        <w:t>бемпедоєвої</w:t>
      </w:r>
      <w:proofErr w:type="spellEnd"/>
      <w:r>
        <w:t xml:space="preserve"> кислоти становив менше 2 % від загального кліренсу. Середній (SD) період </w:t>
      </w:r>
      <w:proofErr w:type="spellStart"/>
      <w:r>
        <w:t>напіввиведення</w:t>
      </w:r>
      <w:proofErr w:type="spellEnd"/>
      <w:r>
        <w:t xml:space="preserve"> </w:t>
      </w:r>
      <w:proofErr w:type="spellStart"/>
      <w:r>
        <w:t>бемпедоєвої</w:t>
      </w:r>
      <w:proofErr w:type="spellEnd"/>
      <w:r>
        <w:t xml:space="preserve"> кислоти у людей становив 19 (10) годин у стаціонарному стані.</w:t>
      </w:r>
      <w:r>
        <w:rPr>
          <w:lang w:val="ru-RU"/>
        </w:rPr>
        <w:t xml:space="preserve"> </w:t>
      </w:r>
      <w:r>
        <w:t xml:space="preserve">Після одноразового перорального прийому 240 мг </w:t>
      </w:r>
      <w:proofErr w:type="spellStart"/>
      <w:r>
        <w:t>бемпедоєвої</w:t>
      </w:r>
      <w:proofErr w:type="spellEnd"/>
      <w:r>
        <w:t xml:space="preserve"> кислоти (що в 1,3</w:t>
      </w:r>
      <w:r>
        <w:rPr>
          <w:lang w:val="en-US"/>
        </w:rPr>
        <w:t> </w:t>
      </w:r>
      <w:proofErr w:type="spellStart"/>
      <w:r>
        <w:t>раза</w:t>
      </w:r>
      <w:proofErr w:type="spellEnd"/>
      <w:r>
        <w:t xml:space="preserve"> перевищує затверджену рекомендовану дозу) 62,1 % загальної дози (</w:t>
      </w:r>
      <w:proofErr w:type="spellStart"/>
      <w:r>
        <w:t>бемпедоєва</w:t>
      </w:r>
      <w:proofErr w:type="spellEnd"/>
      <w:r>
        <w:t xml:space="preserve"> кислота та її метаболіти) виводилося з сечею, переважно у вигляді </w:t>
      </w:r>
      <w:proofErr w:type="spellStart"/>
      <w:r>
        <w:t>ацилглюкуронідного</w:t>
      </w:r>
      <w:proofErr w:type="spellEnd"/>
      <w:r>
        <w:t xml:space="preserve"> </w:t>
      </w:r>
      <w:proofErr w:type="spellStart"/>
      <w:r>
        <w:t>кон’югату</w:t>
      </w:r>
      <w:proofErr w:type="spellEnd"/>
      <w:r>
        <w:t xml:space="preserve"> </w:t>
      </w:r>
      <w:proofErr w:type="spellStart"/>
      <w:r>
        <w:t>бемпедоєвої</w:t>
      </w:r>
      <w:proofErr w:type="spellEnd"/>
      <w:r>
        <w:t xml:space="preserve"> кислоти, а 25,4 % – з калом. Менше 5 % введеної дози виводилося у вигляді незміненої </w:t>
      </w:r>
      <w:proofErr w:type="spellStart"/>
      <w:r>
        <w:t>бемпедоєвої</w:t>
      </w:r>
      <w:proofErr w:type="spellEnd"/>
      <w:r>
        <w:t xml:space="preserve"> кислоти з калом та сечею разом.</w:t>
      </w:r>
    </w:p>
    <w:p w:rsidR="00A83EAF" w:rsidRDefault="00A83EAF" w:rsidP="00A83EAF">
      <w:pPr>
        <w:pStyle w:val="a4"/>
        <w:shd w:val="clear" w:color="auto" w:fill="FFFFFF"/>
        <w:spacing w:after="0"/>
        <w:ind w:left="0"/>
        <w:jc w:val="both"/>
      </w:pPr>
      <w:proofErr w:type="spellStart"/>
      <w:r>
        <w:rPr>
          <w:i/>
          <w:iCs/>
        </w:rPr>
        <w:t>Езетиміб</w:t>
      </w:r>
      <w:proofErr w:type="spellEnd"/>
    </w:p>
    <w:p w:rsidR="00A83EAF" w:rsidRDefault="00A83EAF" w:rsidP="00A83EAF">
      <w:pPr>
        <w:pStyle w:val="a4"/>
        <w:shd w:val="clear" w:color="auto" w:fill="FFFFFF"/>
        <w:spacing w:after="0"/>
        <w:ind w:left="0"/>
        <w:jc w:val="both"/>
      </w:pPr>
      <w:r>
        <w:t xml:space="preserve">Після перорального застосування 14C-езетимібу (20 мг) людям загальний </w:t>
      </w:r>
      <w:proofErr w:type="spellStart"/>
      <w:r>
        <w:t>езетиміб</w:t>
      </w:r>
      <w:proofErr w:type="spellEnd"/>
      <w:r>
        <w:t xml:space="preserve"> (</w:t>
      </w:r>
      <w:proofErr w:type="spellStart"/>
      <w:r>
        <w:t>езетиміб</w:t>
      </w:r>
      <w:proofErr w:type="spellEnd"/>
      <w:r>
        <w:t xml:space="preserve"> та </w:t>
      </w:r>
      <w:proofErr w:type="spellStart"/>
      <w:r>
        <w:t>езетиміб-глюкуронід</w:t>
      </w:r>
      <w:proofErr w:type="spellEnd"/>
      <w:r>
        <w:t xml:space="preserve">) становив приблизно 93 % від загальної радіоактивності у плазмі крові. Приблизно 78 % та 11 % введеної радіоактивності було виявлено у калі та сечі відповідно протягом 10-денного періоду збору. Через 48 годин рівні радіоактивності у плазмі крові не були виявлені. Період </w:t>
      </w:r>
      <w:proofErr w:type="spellStart"/>
      <w:r>
        <w:t>напіввиведення</w:t>
      </w:r>
      <w:proofErr w:type="spellEnd"/>
      <w:r>
        <w:t xml:space="preserve"> </w:t>
      </w:r>
      <w:proofErr w:type="spellStart"/>
      <w:r>
        <w:t>езетимібу</w:t>
      </w:r>
      <w:proofErr w:type="spellEnd"/>
      <w:r>
        <w:t xml:space="preserve"> та </w:t>
      </w:r>
      <w:proofErr w:type="spellStart"/>
      <w:r>
        <w:t>езетиміб-глюкуроніду</w:t>
      </w:r>
      <w:proofErr w:type="spellEnd"/>
      <w:r>
        <w:t xml:space="preserve"> становить приблизно 22 години.</w:t>
      </w:r>
    </w:p>
    <w:p w:rsidR="00A83EAF" w:rsidRDefault="00A83EAF" w:rsidP="00A83EAF">
      <w:pPr>
        <w:shd w:val="clear" w:color="auto" w:fill="FFFFFF"/>
        <w:spacing w:after="0" w:line="240" w:lineRule="auto"/>
        <w:jc w:val="both"/>
        <w:rPr>
          <w:rFonts w:ascii="Times New Roman" w:hAnsi="Times New Roman"/>
          <w:i/>
          <w:sz w:val="24"/>
          <w:szCs w:val="24"/>
          <w:u w:val="single"/>
        </w:rPr>
      </w:pPr>
      <w:r>
        <w:rPr>
          <w:rFonts w:ascii="Times New Roman" w:hAnsi="Times New Roman"/>
          <w:i/>
          <w:sz w:val="24"/>
          <w:szCs w:val="24"/>
          <w:u w:val="single"/>
        </w:rPr>
        <w:t>Особливі групи населення</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i/>
          <w:iCs/>
          <w:sz w:val="24"/>
          <w:szCs w:val="24"/>
        </w:rPr>
        <w:t>Порушення функції нирок</w:t>
      </w:r>
    </w:p>
    <w:p w:rsidR="00A83EAF" w:rsidRDefault="00A83EAF" w:rsidP="00A83EAF">
      <w:pPr>
        <w:pStyle w:val="a4"/>
        <w:shd w:val="clear" w:color="auto" w:fill="FFFFFF"/>
        <w:spacing w:after="0"/>
        <w:ind w:left="0"/>
        <w:jc w:val="both"/>
      </w:pPr>
      <w:proofErr w:type="spellStart"/>
      <w:r>
        <w:rPr>
          <w:i/>
          <w:iCs/>
        </w:rPr>
        <w:t>Бемпедоєва</w:t>
      </w:r>
      <w:proofErr w:type="spellEnd"/>
      <w:r>
        <w:rPr>
          <w:i/>
          <w:iCs/>
        </w:rPr>
        <w:t xml:space="preserve"> кислота</w:t>
      </w:r>
    </w:p>
    <w:p w:rsidR="00A83EAF" w:rsidRDefault="00A83EAF" w:rsidP="00A83EAF">
      <w:pPr>
        <w:pStyle w:val="a4"/>
        <w:shd w:val="clear" w:color="auto" w:fill="FFFFFF"/>
        <w:spacing w:after="0"/>
        <w:ind w:left="0"/>
        <w:jc w:val="both"/>
      </w:pPr>
      <w:r>
        <w:t xml:space="preserve">Фармакокінетику </w:t>
      </w:r>
      <w:proofErr w:type="spellStart"/>
      <w:r>
        <w:t>бемпедоєвої</w:t>
      </w:r>
      <w:proofErr w:type="spellEnd"/>
      <w:r>
        <w:t xml:space="preserve"> кислоти оцінювали в популяційному </w:t>
      </w:r>
      <w:proofErr w:type="spellStart"/>
      <w:r>
        <w:t>фармакокінетичному</w:t>
      </w:r>
      <w:proofErr w:type="spellEnd"/>
      <w:r>
        <w:t xml:space="preserve"> аналізі, проведеному на основі об’єднаних даних усіх клінічних випробувань (n=2261) для оцінки функції нирок за AUC </w:t>
      </w:r>
      <w:proofErr w:type="spellStart"/>
      <w:r>
        <w:t>бемпедоєвої</w:t>
      </w:r>
      <w:proofErr w:type="spellEnd"/>
      <w:r>
        <w:t xml:space="preserve"> кислоти у стаціонарному стані та у </w:t>
      </w:r>
      <w:proofErr w:type="spellStart"/>
      <w:r>
        <w:t>фармакокінетичному</w:t>
      </w:r>
      <w:proofErr w:type="spellEnd"/>
      <w:r>
        <w:t xml:space="preserve"> дослідженні з одноразовою дозою у пацієнтів з різним ступенем функції нирок. Порівняно з пацієнтами з нормальною функцією нирок, середня експозиція </w:t>
      </w:r>
      <w:proofErr w:type="spellStart"/>
      <w:r>
        <w:t>бемпедоєвої</w:t>
      </w:r>
      <w:proofErr w:type="spellEnd"/>
      <w:r>
        <w:t xml:space="preserve"> кислоти була вищою у пацієнтів з легким або помірним порушенням функції нирок у 1,4 </w:t>
      </w:r>
      <w:proofErr w:type="spellStart"/>
      <w:r>
        <w:t>раза</w:t>
      </w:r>
      <w:proofErr w:type="spellEnd"/>
      <w:r>
        <w:t xml:space="preserve"> (90 % PI: 1,3, 1,4) та 1,9 </w:t>
      </w:r>
      <w:proofErr w:type="spellStart"/>
      <w:r>
        <w:t>раза</w:t>
      </w:r>
      <w:proofErr w:type="spellEnd"/>
      <w:r>
        <w:t xml:space="preserve"> (90 % PI: 1,7, 2,0) відповідно (див. розділ «Особливості застосування»). Інформація щодо пацієнтів з тяжким порушенням функції нирок обмежена; у дослідженні одноразового застосування AUC </w:t>
      </w:r>
      <w:proofErr w:type="spellStart"/>
      <w:r>
        <w:t>бемпедоєвої</w:t>
      </w:r>
      <w:proofErr w:type="spellEnd"/>
      <w:r>
        <w:t xml:space="preserve"> кислоти збільшилася у 2,4 </w:t>
      </w:r>
      <w:proofErr w:type="spellStart"/>
      <w:r>
        <w:t>раза</w:t>
      </w:r>
      <w:proofErr w:type="spellEnd"/>
      <w:r>
        <w:t xml:space="preserve"> у пацієнтів (n=5) з тяжким порушенням функції нирок (</w:t>
      </w:r>
      <w:proofErr w:type="spellStart"/>
      <w:r>
        <w:t>рШКФ</w:t>
      </w:r>
      <w:proofErr w:type="spellEnd"/>
      <w:r>
        <w:t xml:space="preserve"> &lt;30 мл/</w:t>
      </w:r>
      <w:proofErr w:type="spellStart"/>
      <w:r>
        <w:t>хв</w:t>
      </w:r>
      <w:proofErr w:type="spellEnd"/>
      <w:r>
        <w:t>/1,73 м</w:t>
      </w:r>
      <w:r>
        <w:rPr>
          <w:vertAlign w:val="superscript"/>
        </w:rPr>
        <w:t>2</w:t>
      </w:r>
      <w:r>
        <w:t>) порівняно з пацієнтами з нормальною функцією нирок. Клінічні дослідження лікарського засобу не включали пацієнтів з термінальною стадією ниркової недостатності, які перебувають на діалізі (див. розділ «Особливості застосування»).</w:t>
      </w:r>
    </w:p>
    <w:p w:rsidR="00A83EAF" w:rsidRDefault="00A83EAF" w:rsidP="00A83EAF">
      <w:pPr>
        <w:pStyle w:val="a4"/>
        <w:shd w:val="clear" w:color="auto" w:fill="FFFFFF"/>
        <w:spacing w:after="0"/>
        <w:ind w:left="0"/>
        <w:jc w:val="both"/>
      </w:pPr>
      <w:proofErr w:type="spellStart"/>
      <w:r>
        <w:rPr>
          <w:i/>
          <w:iCs/>
        </w:rPr>
        <w:t>Езетиміб</w:t>
      </w:r>
      <w:proofErr w:type="spellEnd"/>
    </w:p>
    <w:p w:rsidR="00A83EAF" w:rsidRDefault="00A83EAF" w:rsidP="00A83EAF">
      <w:pPr>
        <w:pStyle w:val="a4"/>
        <w:shd w:val="clear" w:color="auto" w:fill="FFFFFF"/>
        <w:spacing w:after="0"/>
        <w:ind w:left="0"/>
        <w:jc w:val="both"/>
      </w:pPr>
      <w:r>
        <w:t xml:space="preserve">Після одноразового застосування </w:t>
      </w:r>
      <w:proofErr w:type="spellStart"/>
      <w:r>
        <w:t>езетимібу</w:t>
      </w:r>
      <w:proofErr w:type="spellEnd"/>
      <w:r>
        <w:t xml:space="preserve"> в дозі 10 мг пацієнтам з тяжким захворюванням нирок (n=8; середній кліренс </w:t>
      </w:r>
      <w:proofErr w:type="spellStart"/>
      <w:r>
        <w:t>креатиніну</w:t>
      </w:r>
      <w:proofErr w:type="spellEnd"/>
      <w:r>
        <w:t xml:space="preserve"> ≤30 </w:t>
      </w:r>
      <w:proofErr w:type="spellStart"/>
      <w:r>
        <w:t>мл</w:t>
      </w:r>
      <w:proofErr w:type="spellEnd"/>
      <w:r>
        <w:t>/</w:t>
      </w:r>
      <w:proofErr w:type="spellStart"/>
      <w:r>
        <w:t>хв</w:t>
      </w:r>
      <w:proofErr w:type="spellEnd"/>
      <w:r>
        <w:t>/1,73 м</w:t>
      </w:r>
      <w:r>
        <w:rPr>
          <w:vertAlign w:val="superscript"/>
        </w:rPr>
        <w:t>2</w:t>
      </w:r>
      <w:r>
        <w:t xml:space="preserve">) середня площа під кривою (AUC) для загального </w:t>
      </w:r>
      <w:proofErr w:type="spellStart"/>
      <w:r>
        <w:t>езетимібу</w:t>
      </w:r>
      <w:proofErr w:type="spellEnd"/>
      <w:r>
        <w:t xml:space="preserve"> збільшилася приблизно в 1,5 </w:t>
      </w:r>
      <w:proofErr w:type="spellStart"/>
      <w:r>
        <w:t>раза</w:t>
      </w:r>
      <w:proofErr w:type="spellEnd"/>
      <w:r>
        <w:t xml:space="preserve"> порівняно зі здоровими суб’єктами (n=9). Цей результат не вважається клінічно значущим. Ще один пацієнт у цьому дослідженні (після трансплантації нирки та отримання кількох лікарських засобів, включаючи </w:t>
      </w:r>
      <w:proofErr w:type="spellStart"/>
      <w:r>
        <w:t>циклоспорин</w:t>
      </w:r>
      <w:proofErr w:type="spellEnd"/>
      <w:r>
        <w:t xml:space="preserve">) мав у 12 разів більшу експозицію до загального </w:t>
      </w:r>
      <w:proofErr w:type="spellStart"/>
      <w:r>
        <w:t>езетимібу</w:t>
      </w:r>
      <w:proofErr w:type="spellEnd"/>
      <w:r>
        <w:t>.</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i/>
          <w:iCs/>
          <w:sz w:val="24"/>
          <w:szCs w:val="24"/>
        </w:rPr>
        <w:t>Порушення функції печінки</w:t>
      </w:r>
    </w:p>
    <w:p w:rsidR="00A83EAF" w:rsidRDefault="00A83EAF" w:rsidP="00A83EAF">
      <w:pPr>
        <w:pStyle w:val="a4"/>
        <w:shd w:val="clear" w:color="auto" w:fill="FFFFFF"/>
        <w:spacing w:after="0"/>
        <w:ind w:left="0"/>
        <w:jc w:val="both"/>
      </w:pPr>
      <w:r>
        <w:lastRenderedPageBreak/>
        <w:t xml:space="preserve">Лікарський засіб не рекомендується застосовувати пацієнтам з помірним або тяжким порушенням функції печінки через невідомі ефекти підвищеного впливу </w:t>
      </w:r>
      <w:proofErr w:type="spellStart"/>
      <w:r>
        <w:t>езетимібу</w:t>
      </w:r>
      <w:proofErr w:type="spellEnd"/>
      <w:r>
        <w:t xml:space="preserve">. </w:t>
      </w:r>
      <w:proofErr w:type="spellStart"/>
      <w:r>
        <w:rPr>
          <w:i/>
          <w:iCs/>
        </w:rPr>
        <w:t>Бемпедоєва</w:t>
      </w:r>
      <w:proofErr w:type="spellEnd"/>
      <w:r>
        <w:rPr>
          <w:i/>
          <w:iCs/>
        </w:rPr>
        <w:t xml:space="preserve"> кислота</w:t>
      </w:r>
    </w:p>
    <w:p w:rsidR="00A83EAF" w:rsidRDefault="00A83EAF" w:rsidP="00A83EAF">
      <w:pPr>
        <w:pStyle w:val="a4"/>
        <w:shd w:val="clear" w:color="auto" w:fill="FFFFFF"/>
        <w:spacing w:after="0"/>
        <w:ind w:left="0"/>
        <w:jc w:val="both"/>
        <w:rPr>
          <w:lang w:val="ru-RU"/>
        </w:rPr>
      </w:pPr>
      <w:r>
        <w:t xml:space="preserve">Фармакокінетику </w:t>
      </w:r>
      <w:proofErr w:type="spellStart"/>
      <w:r>
        <w:t>бемпедоєвої</w:t>
      </w:r>
      <w:proofErr w:type="spellEnd"/>
      <w:r>
        <w:t xml:space="preserve"> кислоти та її метаболіту (ESP15228) вивчали у пацієнтів з нормальною функцією печінки або легким чи помірним порушенням функції печінки (клас </w:t>
      </w:r>
      <w:proofErr w:type="spellStart"/>
      <w:r>
        <w:t>Чайлда-П’ю</w:t>
      </w:r>
      <w:proofErr w:type="spellEnd"/>
      <w:r>
        <w:t xml:space="preserve"> A або B) після одноразового застосування (n=8/група). Порівняно з пацієнтами з нормальною функцією печінки, середні значення </w:t>
      </w:r>
      <w:proofErr w:type="spellStart"/>
      <w:r>
        <w:t>C</w:t>
      </w:r>
      <w:r>
        <w:rPr>
          <w:vertAlign w:val="subscript"/>
        </w:rPr>
        <w:t>max</w:t>
      </w:r>
      <w:proofErr w:type="spellEnd"/>
      <w:r>
        <w:t xml:space="preserve"> та AUC </w:t>
      </w:r>
      <w:proofErr w:type="spellStart"/>
      <w:r>
        <w:t>бемпедоєвої</w:t>
      </w:r>
      <w:proofErr w:type="spellEnd"/>
      <w:r>
        <w:t xml:space="preserve"> кислоти зменшилися на 11 % та 22 % відповідно у пацієнтів з легким порушенням функції печінки та на 14 % та 16 % відповідно у пацієнтів з помірним порушенням функції печінки. Не очікується, що це призведе до зниження ефективності. </w:t>
      </w:r>
      <w:proofErr w:type="spellStart"/>
      <w:r>
        <w:t>Бемпедоєву</w:t>
      </w:r>
      <w:proofErr w:type="spellEnd"/>
      <w:r>
        <w:t xml:space="preserve"> кислоту не вивчали у пацієнтів з тяжким порушенням функції печінки (клас </w:t>
      </w:r>
      <w:proofErr w:type="spellStart"/>
      <w:r>
        <w:t>Чайлда-П’ю</w:t>
      </w:r>
      <w:proofErr w:type="spellEnd"/>
      <w:r>
        <w:t xml:space="preserve"> C).</w:t>
      </w:r>
    </w:p>
    <w:p w:rsidR="00A83EAF" w:rsidRDefault="00A83EAF" w:rsidP="00A83EAF">
      <w:pPr>
        <w:pStyle w:val="a4"/>
        <w:shd w:val="clear" w:color="auto" w:fill="FFFFFF"/>
        <w:spacing w:after="0"/>
        <w:ind w:left="0"/>
        <w:jc w:val="both"/>
      </w:pPr>
      <w:proofErr w:type="spellStart"/>
      <w:r>
        <w:rPr>
          <w:i/>
          <w:iCs/>
        </w:rPr>
        <w:t>Езетиміб</w:t>
      </w:r>
      <w:proofErr w:type="spellEnd"/>
    </w:p>
    <w:p w:rsidR="00A83EAF" w:rsidRDefault="00A83EAF" w:rsidP="00A83EAF">
      <w:pPr>
        <w:pStyle w:val="a4"/>
        <w:shd w:val="clear" w:color="auto" w:fill="FFFFFF"/>
        <w:spacing w:after="0"/>
        <w:ind w:left="0"/>
        <w:jc w:val="both"/>
      </w:pPr>
      <w:r>
        <w:t xml:space="preserve">Після одноразового прийому </w:t>
      </w:r>
      <w:proofErr w:type="spellStart"/>
      <w:r>
        <w:t>езетимібу</w:t>
      </w:r>
      <w:proofErr w:type="spellEnd"/>
      <w:r>
        <w:t xml:space="preserve"> в дозі 10 мг середня площа під кривою (AUC) для загального </w:t>
      </w:r>
      <w:proofErr w:type="spellStart"/>
      <w:r>
        <w:t>езетимібу</w:t>
      </w:r>
      <w:proofErr w:type="spellEnd"/>
      <w:r>
        <w:t xml:space="preserve"> збільшилася приблизно в 1,7 </w:t>
      </w:r>
      <w:proofErr w:type="spellStart"/>
      <w:r>
        <w:t>раза</w:t>
      </w:r>
      <w:proofErr w:type="spellEnd"/>
      <w:r>
        <w:t xml:space="preserve"> у пацієнтів з легким порушенням функції печінки (клас А за </w:t>
      </w:r>
      <w:proofErr w:type="spellStart"/>
      <w:r>
        <w:t>Чайлдом-П’ю</w:t>
      </w:r>
      <w:proofErr w:type="spellEnd"/>
      <w:r>
        <w:t>) порівняно зі здоровими добровольцями. У 14</w:t>
      </w:r>
      <w:r>
        <w:noBreakHyphen/>
        <w:t xml:space="preserve">денному дослідженні багаторазового застосування (10 мг на добу) у пацієнтів з помірним порушенням функції печінки (клас В за </w:t>
      </w:r>
      <w:proofErr w:type="spellStart"/>
      <w:r>
        <w:t>Чайлдом-П’ю</w:t>
      </w:r>
      <w:proofErr w:type="spellEnd"/>
      <w:r>
        <w:t xml:space="preserve">) середня площа під кривою (AUC) для загального </w:t>
      </w:r>
      <w:proofErr w:type="spellStart"/>
      <w:r>
        <w:t>езетимібу</w:t>
      </w:r>
      <w:proofErr w:type="spellEnd"/>
      <w:r>
        <w:t xml:space="preserve"> збільшилася приблизно в 4 рази в 1-й та 14-й день порівняно зі здоровими добровольцями.</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i/>
          <w:iCs/>
          <w:sz w:val="24"/>
          <w:szCs w:val="24"/>
        </w:rPr>
        <w:t>Інші особливі групи населення</w:t>
      </w:r>
    </w:p>
    <w:p w:rsidR="00A83EAF" w:rsidRDefault="00A83EAF" w:rsidP="00A83EAF">
      <w:pPr>
        <w:pStyle w:val="a4"/>
        <w:shd w:val="clear" w:color="auto" w:fill="FFFFFF"/>
        <w:spacing w:after="0"/>
        <w:ind w:left="0"/>
        <w:jc w:val="both"/>
      </w:pPr>
      <w:proofErr w:type="spellStart"/>
      <w:r>
        <w:rPr>
          <w:i/>
          <w:iCs/>
        </w:rPr>
        <w:t>Бемпедоєва</w:t>
      </w:r>
      <w:proofErr w:type="spellEnd"/>
      <w:r>
        <w:rPr>
          <w:i/>
          <w:iCs/>
        </w:rPr>
        <w:t xml:space="preserve"> кислота</w:t>
      </w:r>
    </w:p>
    <w:p w:rsidR="00A83EAF" w:rsidRDefault="00A83EAF" w:rsidP="00A83EAF">
      <w:pPr>
        <w:pStyle w:val="a4"/>
        <w:shd w:val="clear" w:color="auto" w:fill="FFFFFF"/>
        <w:spacing w:after="0"/>
        <w:ind w:left="0"/>
        <w:jc w:val="both"/>
      </w:pPr>
      <w:r>
        <w:t xml:space="preserve">З 3621 пацієнта, які отримували </w:t>
      </w:r>
      <w:proofErr w:type="spellStart"/>
      <w:r>
        <w:t>бемпедоєву</w:t>
      </w:r>
      <w:proofErr w:type="spellEnd"/>
      <w:r>
        <w:t xml:space="preserve"> кислоту в плацебо-контрольованих дослідженнях, 2098 (58 %) були віком &gt;65 років. Загальних відмінностей у безпеці чи ефективності між цими пацієнтами та молодшими пацієнтами не спостерігалося. Фармакокінетика </w:t>
      </w:r>
      <w:proofErr w:type="spellStart"/>
      <w:r>
        <w:t>бемпедоєвої</w:t>
      </w:r>
      <w:proofErr w:type="spellEnd"/>
      <w:r>
        <w:t xml:space="preserve"> кислоти не залежала від віку, статі чи раси. Маса тіла була статистично значущою </w:t>
      </w:r>
      <w:proofErr w:type="spellStart"/>
      <w:r>
        <w:t>коваріатою</w:t>
      </w:r>
      <w:proofErr w:type="spellEnd"/>
      <w:r>
        <w:t xml:space="preserve">. Найнижчий </w:t>
      </w:r>
      <w:proofErr w:type="spellStart"/>
      <w:r>
        <w:t>квартиль</w:t>
      </w:r>
      <w:proofErr w:type="spellEnd"/>
      <w:r>
        <w:t xml:space="preserve"> маси тіла (&lt;73 кг) був пов’язаний приблизно на 30 % з більшою експозицією. Збільшення експозиції не було клінічно значущим, і коригування дози залежно від маси тіла не рекомендується. </w:t>
      </w:r>
      <w:proofErr w:type="spellStart"/>
      <w:r>
        <w:rPr>
          <w:i/>
          <w:iCs/>
        </w:rPr>
        <w:t>Езетиміб</w:t>
      </w:r>
      <w:proofErr w:type="spellEnd"/>
    </w:p>
    <w:p w:rsidR="00A83EAF" w:rsidRDefault="00A83EAF" w:rsidP="00A83EAF">
      <w:pPr>
        <w:pStyle w:val="a4"/>
        <w:shd w:val="clear" w:color="auto" w:fill="FFFFFF"/>
        <w:spacing w:after="0"/>
        <w:ind w:left="0"/>
        <w:jc w:val="both"/>
        <w:rPr>
          <w:i/>
        </w:rPr>
      </w:pPr>
      <w:r>
        <w:rPr>
          <w:i/>
        </w:rPr>
        <w:t>Пацієнти літнього віку</w:t>
      </w:r>
    </w:p>
    <w:p w:rsidR="00A83EAF" w:rsidRDefault="00A83EAF" w:rsidP="00A83EAF">
      <w:pPr>
        <w:pStyle w:val="a4"/>
        <w:shd w:val="clear" w:color="auto" w:fill="FFFFFF"/>
        <w:spacing w:after="0"/>
        <w:ind w:left="0"/>
        <w:jc w:val="both"/>
      </w:pPr>
      <w:r>
        <w:t xml:space="preserve">У дослідженні багаторазового застосування </w:t>
      </w:r>
      <w:proofErr w:type="spellStart"/>
      <w:r>
        <w:t>езетимібу</w:t>
      </w:r>
      <w:proofErr w:type="spellEnd"/>
      <w:r>
        <w:t xml:space="preserve"> в дозі 10 мг 1 раз на добу протягом 10 днів концентрація загального </w:t>
      </w:r>
      <w:proofErr w:type="spellStart"/>
      <w:r>
        <w:t>езетимібу</w:t>
      </w:r>
      <w:proofErr w:type="spellEnd"/>
      <w:r>
        <w:t xml:space="preserve"> у плазмі крові була приблизно в 2 рази вищою у здорових осіб старшого віку (≥65 років) порівняно з молодшими суб’єктами. Зниження</w:t>
      </w:r>
      <w:r>
        <w:rPr>
          <w:lang w:val="en-US"/>
        </w:rPr>
        <w:t> </w:t>
      </w:r>
      <w:r>
        <w:t xml:space="preserve">рівня ЛПНЩ та профіль безпеки є порівнянними у пацієнтів літнього віку та молодих суб'єктів, які отримували </w:t>
      </w:r>
      <w:proofErr w:type="spellStart"/>
      <w:r>
        <w:t>езетиміб</w:t>
      </w:r>
      <w:proofErr w:type="spellEnd"/>
      <w:r>
        <w:t>.</w:t>
      </w:r>
    </w:p>
    <w:p w:rsidR="00A83EAF" w:rsidRDefault="00A83EAF" w:rsidP="00A83EAF">
      <w:pPr>
        <w:pStyle w:val="a4"/>
        <w:shd w:val="clear" w:color="auto" w:fill="FFFFFF"/>
        <w:spacing w:after="0"/>
        <w:ind w:left="0"/>
        <w:jc w:val="both"/>
        <w:rPr>
          <w:i/>
        </w:rPr>
      </w:pPr>
      <w:r>
        <w:rPr>
          <w:i/>
        </w:rPr>
        <w:t>Стать</w:t>
      </w:r>
    </w:p>
    <w:p w:rsidR="00A83EAF" w:rsidRDefault="00A83EAF" w:rsidP="00A83EAF">
      <w:pPr>
        <w:pStyle w:val="a4"/>
        <w:shd w:val="clear" w:color="auto" w:fill="FFFFFF"/>
        <w:spacing w:after="0"/>
        <w:ind w:left="0"/>
        <w:jc w:val="both"/>
      </w:pPr>
      <w:r>
        <w:t xml:space="preserve">Концентрації загального </w:t>
      </w:r>
      <w:proofErr w:type="spellStart"/>
      <w:r>
        <w:t>езетимібу</w:t>
      </w:r>
      <w:proofErr w:type="spellEnd"/>
      <w:r>
        <w:t xml:space="preserve"> у плазмі крові у жінок дещо вищі (приблизно на 20 %), ніж у чоловіків. Зниження рівня ЛПНЩ та профіль безпеки є порівнянними у чоловіків та жінок, які отримують </w:t>
      </w:r>
      <w:proofErr w:type="spellStart"/>
      <w:r>
        <w:t>езетиміб</w:t>
      </w:r>
      <w:proofErr w:type="spellEnd"/>
      <w:r>
        <w:t>.</w:t>
      </w:r>
    </w:p>
    <w:p w:rsidR="00A83EAF" w:rsidRDefault="00A83EAF" w:rsidP="00A83EAF">
      <w:pPr>
        <w:pStyle w:val="a4"/>
        <w:shd w:val="clear" w:color="auto" w:fill="FFFFFF"/>
        <w:spacing w:after="0"/>
        <w:ind w:left="0"/>
        <w:jc w:val="both"/>
      </w:pPr>
    </w:p>
    <w:p w:rsidR="00A83EAF" w:rsidRDefault="00A83EAF" w:rsidP="00A83EAF">
      <w:pPr>
        <w:spacing w:after="0" w:line="240" w:lineRule="auto"/>
        <w:rPr>
          <w:rFonts w:ascii="Times New Roman" w:hAnsi="Times New Roman"/>
          <w:b/>
          <w:i/>
          <w:sz w:val="24"/>
          <w:szCs w:val="24"/>
        </w:rPr>
      </w:pPr>
      <w:r>
        <w:rPr>
          <w:rFonts w:ascii="Times New Roman" w:hAnsi="Times New Roman"/>
          <w:b/>
          <w:sz w:val="24"/>
          <w:szCs w:val="24"/>
        </w:rPr>
        <w:t>Клінічні характеристики</w:t>
      </w:r>
    </w:p>
    <w:p w:rsidR="00A83EAF" w:rsidRDefault="00A83EAF" w:rsidP="00A83EAF">
      <w:pPr>
        <w:widowControl w:val="0"/>
        <w:spacing w:after="0" w:line="240" w:lineRule="auto"/>
        <w:rPr>
          <w:rFonts w:ascii="Times New Roman" w:hAnsi="Times New Roman"/>
          <w:b/>
          <w:i/>
          <w:sz w:val="24"/>
          <w:szCs w:val="24"/>
        </w:rPr>
      </w:pPr>
      <w:r>
        <w:rPr>
          <w:rFonts w:ascii="Times New Roman" w:hAnsi="Times New Roman"/>
          <w:b/>
          <w:i/>
          <w:sz w:val="24"/>
          <w:szCs w:val="24"/>
        </w:rPr>
        <w:t>Показання</w:t>
      </w:r>
    </w:p>
    <w:p w:rsidR="00A83EAF" w:rsidRDefault="00A83EAF" w:rsidP="00A83EAF">
      <w:pPr>
        <w:spacing w:after="0" w:line="240" w:lineRule="auto"/>
        <w:jc w:val="both"/>
        <w:rPr>
          <w:rFonts w:ascii="Times New Roman" w:hAnsi="Times New Roman"/>
          <w:bCs/>
          <w:i/>
          <w:sz w:val="24"/>
          <w:szCs w:val="24"/>
        </w:rPr>
      </w:pPr>
      <w:bookmarkStart w:id="1" w:name="_Hlk198621192"/>
      <w:proofErr w:type="spellStart"/>
      <w:r>
        <w:rPr>
          <w:rFonts w:ascii="Times New Roman" w:hAnsi="Times New Roman"/>
          <w:bCs/>
          <w:i/>
          <w:sz w:val="24"/>
          <w:szCs w:val="24"/>
        </w:rPr>
        <w:t>Гіперхолестеринемія</w:t>
      </w:r>
      <w:proofErr w:type="spellEnd"/>
      <w:r>
        <w:rPr>
          <w:rFonts w:ascii="Times New Roman" w:hAnsi="Times New Roman"/>
          <w:bCs/>
          <w:i/>
          <w:sz w:val="24"/>
          <w:szCs w:val="24"/>
        </w:rPr>
        <w:t xml:space="preserve"> та змішана </w:t>
      </w:r>
      <w:proofErr w:type="spellStart"/>
      <w:r>
        <w:rPr>
          <w:rFonts w:ascii="Times New Roman" w:hAnsi="Times New Roman"/>
          <w:bCs/>
          <w:i/>
          <w:sz w:val="24"/>
          <w:szCs w:val="24"/>
        </w:rPr>
        <w:t>дисліпідемія</w:t>
      </w:r>
      <w:proofErr w:type="spellEnd"/>
    </w:p>
    <w:p w:rsidR="00A83EAF" w:rsidRDefault="00A83EAF" w:rsidP="00A83EAF">
      <w:pPr>
        <w:spacing w:after="0" w:line="240" w:lineRule="auto"/>
        <w:jc w:val="both"/>
        <w:rPr>
          <w:rFonts w:ascii="Times New Roman" w:hAnsi="Times New Roman"/>
          <w:bCs/>
          <w:sz w:val="24"/>
          <w:szCs w:val="24"/>
        </w:rPr>
      </w:pPr>
      <w:r>
        <w:rPr>
          <w:rFonts w:ascii="Times New Roman" w:hAnsi="Times New Roman"/>
          <w:bCs/>
          <w:sz w:val="24"/>
          <w:szCs w:val="24"/>
        </w:rPr>
        <w:t xml:space="preserve">Лікарський засіб показаний дорослим пацієнтам із первинною </w:t>
      </w:r>
      <w:proofErr w:type="spellStart"/>
      <w:r>
        <w:rPr>
          <w:rFonts w:ascii="Times New Roman" w:hAnsi="Times New Roman"/>
          <w:bCs/>
          <w:sz w:val="24"/>
          <w:szCs w:val="24"/>
        </w:rPr>
        <w:t>гіперхолестеринемією</w:t>
      </w:r>
      <w:proofErr w:type="spellEnd"/>
      <w:r>
        <w:rPr>
          <w:rFonts w:ascii="Times New Roman" w:hAnsi="Times New Roman"/>
          <w:bCs/>
          <w:sz w:val="24"/>
          <w:szCs w:val="24"/>
        </w:rPr>
        <w:t xml:space="preserve"> (гетерозиготною сімейною та несімейною) або змішаною </w:t>
      </w:r>
      <w:proofErr w:type="spellStart"/>
      <w:r>
        <w:rPr>
          <w:rFonts w:ascii="Times New Roman" w:hAnsi="Times New Roman"/>
          <w:bCs/>
          <w:sz w:val="24"/>
          <w:szCs w:val="24"/>
        </w:rPr>
        <w:t>дисліпідемією</w:t>
      </w:r>
      <w:proofErr w:type="spellEnd"/>
      <w:r>
        <w:rPr>
          <w:rFonts w:ascii="Times New Roman" w:hAnsi="Times New Roman"/>
          <w:bCs/>
          <w:sz w:val="24"/>
          <w:szCs w:val="24"/>
        </w:rPr>
        <w:t xml:space="preserve"> як допоміжна терапія до дієти:</w:t>
      </w:r>
    </w:p>
    <w:p w:rsidR="00A83EAF" w:rsidRDefault="00A83EAF" w:rsidP="00A83EAF">
      <w:pPr>
        <w:spacing w:after="0" w:line="240" w:lineRule="auto"/>
        <w:jc w:val="both"/>
        <w:rPr>
          <w:rFonts w:ascii="Times New Roman" w:hAnsi="Times New Roman"/>
          <w:bCs/>
          <w:sz w:val="24"/>
          <w:szCs w:val="24"/>
        </w:rPr>
      </w:pPr>
      <w:r>
        <w:rPr>
          <w:rFonts w:ascii="Times New Roman" w:hAnsi="Times New Roman"/>
          <w:bCs/>
          <w:sz w:val="24"/>
          <w:szCs w:val="24"/>
        </w:rPr>
        <w:lastRenderedPageBreak/>
        <w:t>•</w:t>
      </w:r>
      <w:r>
        <w:rPr>
          <w:rFonts w:ascii="Times New Roman" w:hAnsi="Times New Roman"/>
          <w:bCs/>
          <w:sz w:val="24"/>
          <w:szCs w:val="24"/>
        </w:rPr>
        <w:tab/>
        <w:t xml:space="preserve">у комбінації зі </w:t>
      </w:r>
      <w:proofErr w:type="spellStart"/>
      <w:r>
        <w:rPr>
          <w:rFonts w:ascii="Times New Roman" w:hAnsi="Times New Roman"/>
          <w:bCs/>
          <w:sz w:val="24"/>
          <w:szCs w:val="24"/>
        </w:rPr>
        <w:t>статином</w:t>
      </w:r>
      <w:proofErr w:type="spellEnd"/>
      <w:r>
        <w:rPr>
          <w:rFonts w:ascii="Times New Roman" w:hAnsi="Times New Roman"/>
          <w:bCs/>
          <w:sz w:val="24"/>
          <w:szCs w:val="24"/>
        </w:rPr>
        <w:t xml:space="preserve"> для пацієнтів, що не здатні досягти потрібного рівня холестерину ЛПНЩ при застосуванні максимальної </w:t>
      </w:r>
      <w:proofErr w:type="spellStart"/>
      <w:r>
        <w:rPr>
          <w:rFonts w:ascii="Times New Roman" w:hAnsi="Times New Roman"/>
          <w:bCs/>
          <w:sz w:val="24"/>
          <w:szCs w:val="24"/>
        </w:rPr>
        <w:t>переносимої</w:t>
      </w:r>
      <w:proofErr w:type="spellEnd"/>
      <w:r>
        <w:rPr>
          <w:rFonts w:ascii="Times New Roman" w:hAnsi="Times New Roman"/>
          <w:bCs/>
          <w:sz w:val="24"/>
          <w:szCs w:val="24"/>
        </w:rPr>
        <w:t xml:space="preserve"> дози </w:t>
      </w:r>
      <w:proofErr w:type="spellStart"/>
      <w:r>
        <w:rPr>
          <w:rFonts w:ascii="Times New Roman" w:hAnsi="Times New Roman"/>
          <w:bCs/>
          <w:sz w:val="24"/>
          <w:szCs w:val="24"/>
        </w:rPr>
        <w:t>статину</w:t>
      </w:r>
      <w:proofErr w:type="spellEnd"/>
      <w:r>
        <w:rPr>
          <w:rFonts w:ascii="Times New Roman" w:hAnsi="Times New Roman"/>
          <w:bCs/>
          <w:sz w:val="24"/>
          <w:szCs w:val="24"/>
        </w:rPr>
        <w:t xml:space="preserve"> на додаток до </w:t>
      </w:r>
      <w:proofErr w:type="spellStart"/>
      <w:r>
        <w:rPr>
          <w:rFonts w:ascii="Times New Roman" w:hAnsi="Times New Roman"/>
          <w:bCs/>
          <w:sz w:val="24"/>
          <w:szCs w:val="24"/>
        </w:rPr>
        <w:t>езетимібу</w:t>
      </w:r>
      <w:proofErr w:type="spellEnd"/>
      <w:r>
        <w:rPr>
          <w:rFonts w:ascii="Times New Roman" w:hAnsi="Times New Roman"/>
          <w:bCs/>
          <w:sz w:val="24"/>
          <w:szCs w:val="24"/>
        </w:rPr>
        <w:t>;</w:t>
      </w:r>
    </w:p>
    <w:p w:rsidR="00A83EAF" w:rsidRDefault="00A83EAF" w:rsidP="00A83EAF">
      <w:pPr>
        <w:spacing w:after="0" w:line="240" w:lineRule="auto"/>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окремо для пацієнтів, які або не переносять </w:t>
      </w:r>
      <w:proofErr w:type="spellStart"/>
      <w:r>
        <w:rPr>
          <w:rFonts w:ascii="Times New Roman" w:hAnsi="Times New Roman"/>
          <w:bCs/>
          <w:sz w:val="24"/>
          <w:szCs w:val="24"/>
        </w:rPr>
        <w:t>статини</w:t>
      </w:r>
      <w:proofErr w:type="spellEnd"/>
      <w:r>
        <w:rPr>
          <w:rFonts w:ascii="Times New Roman" w:hAnsi="Times New Roman"/>
          <w:bCs/>
          <w:sz w:val="24"/>
          <w:szCs w:val="24"/>
        </w:rPr>
        <w:t xml:space="preserve">, або для яких </w:t>
      </w:r>
      <w:proofErr w:type="spellStart"/>
      <w:r>
        <w:rPr>
          <w:rFonts w:ascii="Times New Roman" w:hAnsi="Times New Roman"/>
          <w:bCs/>
          <w:sz w:val="24"/>
          <w:szCs w:val="24"/>
        </w:rPr>
        <w:t>статини</w:t>
      </w:r>
      <w:proofErr w:type="spellEnd"/>
      <w:r>
        <w:rPr>
          <w:rFonts w:ascii="Times New Roman" w:hAnsi="Times New Roman"/>
          <w:bCs/>
          <w:sz w:val="24"/>
          <w:szCs w:val="24"/>
        </w:rPr>
        <w:t xml:space="preserve"> протипоказані, і які не можуть досягти потрібних показників рівня холестерину ЛПНЩ лише за допомогою </w:t>
      </w:r>
      <w:proofErr w:type="spellStart"/>
      <w:r>
        <w:rPr>
          <w:rFonts w:ascii="Times New Roman" w:hAnsi="Times New Roman"/>
          <w:bCs/>
          <w:sz w:val="24"/>
          <w:szCs w:val="24"/>
        </w:rPr>
        <w:t>езетимібу</w:t>
      </w:r>
      <w:proofErr w:type="spellEnd"/>
      <w:r>
        <w:rPr>
          <w:rFonts w:ascii="Times New Roman" w:hAnsi="Times New Roman"/>
          <w:bCs/>
          <w:sz w:val="24"/>
          <w:szCs w:val="24"/>
        </w:rPr>
        <w:t>;</w:t>
      </w:r>
    </w:p>
    <w:p w:rsidR="00A83EAF" w:rsidRDefault="00A83EAF" w:rsidP="00A83EAF">
      <w:pPr>
        <w:spacing w:after="0" w:line="240" w:lineRule="auto"/>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для пацієнтів, які вже отримують комбінацію </w:t>
      </w:r>
      <w:proofErr w:type="spellStart"/>
      <w:r>
        <w:rPr>
          <w:rFonts w:ascii="Times New Roman" w:hAnsi="Times New Roman"/>
          <w:bCs/>
          <w:sz w:val="24"/>
          <w:szCs w:val="24"/>
        </w:rPr>
        <w:t>бемпедоєвої</w:t>
      </w:r>
      <w:proofErr w:type="spellEnd"/>
      <w:r>
        <w:rPr>
          <w:rFonts w:ascii="Times New Roman" w:hAnsi="Times New Roman"/>
          <w:bCs/>
          <w:sz w:val="24"/>
          <w:szCs w:val="24"/>
        </w:rPr>
        <w:t xml:space="preserve"> кислоти та </w:t>
      </w:r>
      <w:proofErr w:type="spellStart"/>
      <w:r>
        <w:rPr>
          <w:rFonts w:ascii="Times New Roman" w:hAnsi="Times New Roman"/>
          <w:bCs/>
          <w:sz w:val="24"/>
          <w:szCs w:val="24"/>
        </w:rPr>
        <w:t>езетимібу</w:t>
      </w:r>
      <w:proofErr w:type="spellEnd"/>
      <w:r>
        <w:rPr>
          <w:rFonts w:ascii="Times New Roman" w:hAnsi="Times New Roman"/>
          <w:bCs/>
          <w:sz w:val="24"/>
          <w:szCs w:val="24"/>
        </w:rPr>
        <w:t xml:space="preserve"> у вигляді окремого лікарського засобу зі </w:t>
      </w:r>
      <w:proofErr w:type="spellStart"/>
      <w:r>
        <w:rPr>
          <w:rFonts w:ascii="Times New Roman" w:hAnsi="Times New Roman"/>
          <w:bCs/>
          <w:sz w:val="24"/>
          <w:szCs w:val="24"/>
        </w:rPr>
        <w:t>статином</w:t>
      </w:r>
      <w:proofErr w:type="spellEnd"/>
      <w:r>
        <w:rPr>
          <w:rFonts w:ascii="Times New Roman" w:hAnsi="Times New Roman"/>
          <w:bCs/>
          <w:sz w:val="24"/>
          <w:szCs w:val="24"/>
        </w:rPr>
        <w:t xml:space="preserve"> або без нього.</w:t>
      </w:r>
    </w:p>
    <w:p w:rsidR="00A83EAF" w:rsidRDefault="00A83EAF" w:rsidP="00A83EAF">
      <w:pPr>
        <w:spacing w:after="0" w:line="240" w:lineRule="auto"/>
        <w:jc w:val="both"/>
        <w:rPr>
          <w:rFonts w:ascii="Times New Roman" w:hAnsi="Times New Roman"/>
          <w:bCs/>
          <w:i/>
          <w:sz w:val="24"/>
          <w:szCs w:val="24"/>
        </w:rPr>
      </w:pPr>
      <w:r>
        <w:rPr>
          <w:rFonts w:ascii="Times New Roman" w:hAnsi="Times New Roman"/>
          <w:bCs/>
          <w:i/>
          <w:sz w:val="24"/>
          <w:szCs w:val="24"/>
        </w:rPr>
        <w:t>Серцево-судинні захворювання</w:t>
      </w:r>
    </w:p>
    <w:p w:rsidR="00A83EAF" w:rsidRDefault="00A83EAF" w:rsidP="00A83EAF">
      <w:pPr>
        <w:spacing w:after="0" w:line="240" w:lineRule="auto"/>
        <w:jc w:val="both"/>
        <w:rPr>
          <w:rFonts w:ascii="Times New Roman" w:hAnsi="Times New Roman"/>
          <w:bCs/>
          <w:sz w:val="24"/>
          <w:szCs w:val="24"/>
        </w:rPr>
      </w:pPr>
      <w:r>
        <w:rPr>
          <w:rFonts w:ascii="Times New Roman" w:hAnsi="Times New Roman"/>
          <w:bCs/>
          <w:sz w:val="24"/>
          <w:szCs w:val="24"/>
        </w:rPr>
        <w:t>Лікарський засіб показаний дорослим зі встановленим атеросклеротичним серцево-судинним захворюванням або з високим ризиком атеросклеротичних серцево-судинних захворювань для зниження ризику, серцево-судинного за рахунок зниження рівня холестерину ЛПНЩ, як доповнення до коригування інших факторів ризику:</w:t>
      </w:r>
    </w:p>
    <w:p w:rsidR="00A83EAF" w:rsidRDefault="00A83EAF" w:rsidP="00A83EAF">
      <w:pPr>
        <w:spacing w:after="0" w:line="240" w:lineRule="auto"/>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для пацієнтів, які приймають максимальну </w:t>
      </w:r>
      <w:proofErr w:type="spellStart"/>
      <w:r>
        <w:rPr>
          <w:rFonts w:ascii="Times New Roman" w:hAnsi="Times New Roman"/>
          <w:bCs/>
          <w:sz w:val="24"/>
          <w:szCs w:val="24"/>
        </w:rPr>
        <w:t>переносиму</w:t>
      </w:r>
      <w:proofErr w:type="spellEnd"/>
      <w:r>
        <w:rPr>
          <w:rFonts w:ascii="Times New Roman" w:hAnsi="Times New Roman"/>
          <w:bCs/>
          <w:sz w:val="24"/>
          <w:szCs w:val="24"/>
        </w:rPr>
        <w:t xml:space="preserve"> дозу </w:t>
      </w:r>
      <w:proofErr w:type="spellStart"/>
      <w:r>
        <w:rPr>
          <w:rFonts w:ascii="Times New Roman" w:hAnsi="Times New Roman"/>
          <w:bCs/>
          <w:sz w:val="24"/>
          <w:szCs w:val="24"/>
        </w:rPr>
        <w:t>статину</w:t>
      </w:r>
      <w:proofErr w:type="spellEnd"/>
      <w:r>
        <w:rPr>
          <w:rFonts w:ascii="Times New Roman" w:hAnsi="Times New Roman"/>
          <w:bCs/>
          <w:sz w:val="24"/>
          <w:szCs w:val="24"/>
        </w:rPr>
        <w:t xml:space="preserve"> та не мають адекватного контролю за допомогою додаткового лікування </w:t>
      </w:r>
      <w:proofErr w:type="spellStart"/>
      <w:r>
        <w:rPr>
          <w:rFonts w:ascii="Times New Roman" w:hAnsi="Times New Roman"/>
          <w:bCs/>
          <w:sz w:val="24"/>
          <w:szCs w:val="24"/>
        </w:rPr>
        <w:t>езетимібом</w:t>
      </w:r>
      <w:proofErr w:type="spellEnd"/>
      <w:r>
        <w:rPr>
          <w:rFonts w:ascii="Times New Roman" w:hAnsi="Times New Roman"/>
          <w:bCs/>
          <w:sz w:val="24"/>
          <w:szCs w:val="24"/>
        </w:rPr>
        <w:t xml:space="preserve">; </w:t>
      </w:r>
    </w:p>
    <w:p w:rsidR="00A83EAF" w:rsidRDefault="00A83EAF" w:rsidP="00A83EAF">
      <w:pPr>
        <w:spacing w:after="0" w:line="240" w:lineRule="auto"/>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для пацієнтів з непереносимістю </w:t>
      </w:r>
      <w:proofErr w:type="spellStart"/>
      <w:r>
        <w:rPr>
          <w:rFonts w:ascii="Times New Roman" w:hAnsi="Times New Roman"/>
          <w:bCs/>
          <w:sz w:val="24"/>
          <w:szCs w:val="24"/>
        </w:rPr>
        <w:t>статинів</w:t>
      </w:r>
      <w:proofErr w:type="spellEnd"/>
      <w:r>
        <w:rPr>
          <w:rFonts w:ascii="Times New Roman" w:hAnsi="Times New Roman"/>
          <w:bCs/>
          <w:sz w:val="24"/>
          <w:szCs w:val="24"/>
        </w:rPr>
        <w:t xml:space="preserve"> або для яких </w:t>
      </w:r>
      <w:proofErr w:type="spellStart"/>
      <w:r>
        <w:rPr>
          <w:rFonts w:ascii="Times New Roman" w:hAnsi="Times New Roman"/>
          <w:bCs/>
          <w:sz w:val="24"/>
          <w:szCs w:val="24"/>
        </w:rPr>
        <w:t>статини</w:t>
      </w:r>
      <w:proofErr w:type="spellEnd"/>
      <w:r>
        <w:rPr>
          <w:rFonts w:ascii="Times New Roman" w:hAnsi="Times New Roman"/>
          <w:bCs/>
          <w:sz w:val="24"/>
          <w:szCs w:val="24"/>
        </w:rPr>
        <w:t xml:space="preserve"> протипоказані, та не контролюються адекватно за допомогою лікування </w:t>
      </w:r>
      <w:proofErr w:type="spellStart"/>
      <w:r>
        <w:rPr>
          <w:rFonts w:ascii="Times New Roman" w:hAnsi="Times New Roman"/>
          <w:bCs/>
          <w:sz w:val="24"/>
          <w:szCs w:val="24"/>
        </w:rPr>
        <w:t>езетимібом</w:t>
      </w:r>
      <w:proofErr w:type="spellEnd"/>
      <w:r>
        <w:rPr>
          <w:rFonts w:ascii="Times New Roman" w:hAnsi="Times New Roman"/>
          <w:bCs/>
          <w:sz w:val="24"/>
          <w:szCs w:val="24"/>
        </w:rPr>
        <w:t>;</w:t>
      </w:r>
    </w:p>
    <w:p w:rsidR="00A83EAF" w:rsidRDefault="00A83EAF" w:rsidP="00A83EAF">
      <w:pPr>
        <w:spacing w:after="0" w:line="240" w:lineRule="auto"/>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для пацієнтів, які вже отримують комбінацію </w:t>
      </w:r>
      <w:proofErr w:type="spellStart"/>
      <w:r>
        <w:rPr>
          <w:rFonts w:ascii="Times New Roman" w:hAnsi="Times New Roman"/>
          <w:bCs/>
          <w:sz w:val="24"/>
          <w:szCs w:val="24"/>
        </w:rPr>
        <w:t>бемпедоєвої</w:t>
      </w:r>
      <w:proofErr w:type="spellEnd"/>
      <w:r>
        <w:rPr>
          <w:rFonts w:ascii="Times New Roman" w:hAnsi="Times New Roman"/>
          <w:bCs/>
          <w:sz w:val="24"/>
          <w:szCs w:val="24"/>
        </w:rPr>
        <w:t xml:space="preserve"> кислоти та </w:t>
      </w:r>
      <w:proofErr w:type="spellStart"/>
      <w:r>
        <w:rPr>
          <w:rFonts w:ascii="Times New Roman" w:hAnsi="Times New Roman"/>
          <w:bCs/>
          <w:sz w:val="24"/>
          <w:szCs w:val="24"/>
        </w:rPr>
        <w:t>езетимібу</w:t>
      </w:r>
      <w:proofErr w:type="spellEnd"/>
      <w:r>
        <w:rPr>
          <w:rFonts w:ascii="Times New Roman" w:hAnsi="Times New Roman"/>
          <w:bCs/>
          <w:sz w:val="24"/>
          <w:szCs w:val="24"/>
        </w:rPr>
        <w:t xml:space="preserve"> у вигляді окремих лікарських засобів, як додатковий засіб для досягнення адекватного рівня холестерину.</w:t>
      </w:r>
    </w:p>
    <w:bookmarkEnd w:id="1"/>
    <w:p w:rsidR="00A83EAF" w:rsidRDefault="00A83EAF" w:rsidP="00A83EAF">
      <w:pPr>
        <w:spacing w:after="0" w:line="240" w:lineRule="auto"/>
        <w:jc w:val="both"/>
        <w:rPr>
          <w:rFonts w:ascii="Times New Roman" w:hAnsi="Times New Roman"/>
          <w:sz w:val="24"/>
          <w:szCs w:val="28"/>
          <w:lang w:eastAsia="ru-RU"/>
        </w:rPr>
      </w:pPr>
    </w:p>
    <w:p w:rsidR="00A83EAF" w:rsidRDefault="00A83EAF" w:rsidP="00A83EAF">
      <w:pPr>
        <w:spacing w:after="0" w:line="240" w:lineRule="auto"/>
        <w:jc w:val="both"/>
        <w:rPr>
          <w:rFonts w:ascii="Times New Roman" w:hAnsi="Times New Roman"/>
          <w:b/>
          <w:i/>
          <w:sz w:val="24"/>
          <w:szCs w:val="28"/>
        </w:rPr>
      </w:pPr>
      <w:r>
        <w:rPr>
          <w:rFonts w:ascii="Times New Roman" w:hAnsi="Times New Roman"/>
          <w:b/>
          <w:i/>
          <w:sz w:val="24"/>
          <w:szCs w:val="28"/>
        </w:rPr>
        <w:t>Протипоказання</w:t>
      </w:r>
    </w:p>
    <w:p w:rsidR="00A83EAF" w:rsidRDefault="00A83EAF" w:rsidP="00A83EAF">
      <w:pPr>
        <w:widowControl w:val="0"/>
        <w:snapToGrid w:val="0"/>
        <w:spacing w:after="0" w:line="240" w:lineRule="auto"/>
        <w:jc w:val="both"/>
        <w:rPr>
          <w:rFonts w:ascii="Times New Roman" w:hAnsi="Times New Roman"/>
          <w:bCs/>
          <w:sz w:val="24"/>
          <w:szCs w:val="20"/>
        </w:rPr>
      </w:pPr>
      <w:r>
        <w:rPr>
          <w:rFonts w:ascii="Times New Roman" w:hAnsi="Times New Roman"/>
          <w:bCs/>
          <w:sz w:val="24"/>
          <w:szCs w:val="20"/>
        </w:rPr>
        <w:t>Підвищена чутливість до діючої речовини або до будь-якої з допоміжних речовин лікарського засобу.</w:t>
      </w:r>
    </w:p>
    <w:p w:rsidR="00A83EAF" w:rsidRDefault="00A83EAF" w:rsidP="00A83EAF">
      <w:pPr>
        <w:widowControl w:val="0"/>
        <w:snapToGrid w:val="0"/>
        <w:spacing w:after="0" w:line="240" w:lineRule="auto"/>
        <w:jc w:val="both"/>
        <w:rPr>
          <w:rFonts w:ascii="Times New Roman" w:hAnsi="Times New Roman"/>
          <w:bCs/>
          <w:sz w:val="24"/>
          <w:szCs w:val="20"/>
        </w:rPr>
      </w:pPr>
      <w:r>
        <w:rPr>
          <w:rFonts w:ascii="Times New Roman" w:hAnsi="Times New Roman"/>
          <w:bCs/>
          <w:sz w:val="24"/>
          <w:szCs w:val="20"/>
        </w:rPr>
        <w:t>Період вагітності або годування груддю.</w:t>
      </w:r>
    </w:p>
    <w:p w:rsidR="00A83EAF" w:rsidRDefault="00A83EAF" w:rsidP="00A83EAF">
      <w:pPr>
        <w:widowControl w:val="0"/>
        <w:snapToGrid w:val="0"/>
        <w:spacing w:after="0" w:line="240" w:lineRule="auto"/>
        <w:jc w:val="both"/>
        <w:rPr>
          <w:rFonts w:ascii="Times New Roman" w:hAnsi="Times New Roman"/>
          <w:bCs/>
          <w:sz w:val="24"/>
          <w:szCs w:val="20"/>
        </w:rPr>
      </w:pPr>
      <w:r>
        <w:rPr>
          <w:rFonts w:ascii="Times New Roman" w:hAnsi="Times New Roman"/>
          <w:bCs/>
          <w:sz w:val="24"/>
          <w:szCs w:val="20"/>
        </w:rPr>
        <w:t xml:space="preserve">Одночасне застосування із </w:t>
      </w:r>
      <w:proofErr w:type="spellStart"/>
      <w:r>
        <w:rPr>
          <w:rFonts w:ascii="Times New Roman" w:hAnsi="Times New Roman"/>
          <w:bCs/>
          <w:sz w:val="24"/>
          <w:szCs w:val="20"/>
        </w:rPr>
        <w:t>симвастатином</w:t>
      </w:r>
      <w:proofErr w:type="spellEnd"/>
      <w:r>
        <w:rPr>
          <w:rFonts w:ascii="Times New Roman" w:hAnsi="Times New Roman"/>
          <w:bCs/>
          <w:sz w:val="24"/>
          <w:szCs w:val="20"/>
        </w:rPr>
        <w:t xml:space="preserve"> &gt;40 мг на добу.</w:t>
      </w:r>
    </w:p>
    <w:p w:rsidR="00A83EAF" w:rsidRDefault="00A83EAF" w:rsidP="00A83EAF">
      <w:pPr>
        <w:widowControl w:val="0"/>
        <w:snapToGrid w:val="0"/>
        <w:spacing w:after="0" w:line="240" w:lineRule="auto"/>
        <w:jc w:val="both"/>
        <w:rPr>
          <w:rFonts w:ascii="Times New Roman" w:hAnsi="Times New Roman"/>
          <w:bCs/>
          <w:sz w:val="24"/>
          <w:szCs w:val="20"/>
        </w:rPr>
      </w:pPr>
      <w:r>
        <w:rPr>
          <w:rFonts w:ascii="Times New Roman" w:hAnsi="Times New Roman"/>
          <w:bCs/>
          <w:sz w:val="24"/>
          <w:szCs w:val="20"/>
        </w:rPr>
        <w:t xml:space="preserve">Лікарський засіб </w:t>
      </w:r>
      <w:proofErr w:type="spellStart"/>
      <w:r>
        <w:rPr>
          <w:rFonts w:ascii="Times New Roman" w:hAnsi="Times New Roman"/>
          <w:bCs/>
          <w:sz w:val="24"/>
          <w:szCs w:val="20"/>
        </w:rPr>
        <w:t>Ліфелеза</w:t>
      </w:r>
      <w:proofErr w:type="spellEnd"/>
      <w:r>
        <w:rPr>
          <w:rFonts w:ascii="Times New Roman" w:hAnsi="Times New Roman"/>
          <w:bCs/>
          <w:sz w:val="24"/>
          <w:szCs w:val="20"/>
        </w:rPr>
        <w:t xml:space="preserve"> разом зі </w:t>
      </w:r>
      <w:proofErr w:type="spellStart"/>
      <w:r>
        <w:rPr>
          <w:rFonts w:ascii="Times New Roman" w:hAnsi="Times New Roman"/>
          <w:bCs/>
          <w:sz w:val="24"/>
          <w:szCs w:val="20"/>
        </w:rPr>
        <w:t>статином</w:t>
      </w:r>
      <w:proofErr w:type="spellEnd"/>
      <w:r>
        <w:rPr>
          <w:rFonts w:ascii="Times New Roman" w:hAnsi="Times New Roman"/>
          <w:bCs/>
          <w:sz w:val="24"/>
          <w:szCs w:val="20"/>
        </w:rPr>
        <w:t xml:space="preserve"> протипоказаний пацієнтам з активним захворюванням печінки або незрозумілим стійким підвищенням рівня </w:t>
      </w:r>
      <w:proofErr w:type="spellStart"/>
      <w:r>
        <w:rPr>
          <w:rFonts w:ascii="Times New Roman" w:hAnsi="Times New Roman"/>
          <w:bCs/>
          <w:sz w:val="24"/>
          <w:szCs w:val="20"/>
        </w:rPr>
        <w:t>трансаміназ</w:t>
      </w:r>
      <w:proofErr w:type="spellEnd"/>
      <w:r>
        <w:rPr>
          <w:rFonts w:ascii="Times New Roman" w:hAnsi="Times New Roman"/>
          <w:bCs/>
          <w:sz w:val="24"/>
          <w:szCs w:val="20"/>
        </w:rPr>
        <w:t xml:space="preserve"> у сироватці крові.</w:t>
      </w:r>
    </w:p>
    <w:p w:rsidR="00A83EAF" w:rsidRDefault="00A83EAF" w:rsidP="00A83EAF">
      <w:pPr>
        <w:widowControl w:val="0"/>
        <w:snapToGrid w:val="0"/>
        <w:spacing w:after="0" w:line="240" w:lineRule="auto"/>
        <w:jc w:val="both"/>
        <w:rPr>
          <w:rFonts w:ascii="Times New Roman" w:hAnsi="Times New Roman"/>
          <w:bCs/>
          <w:sz w:val="24"/>
          <w:szCs w:val="20"/>
        </w:rPr>
      </w:pPr>
    </w:p>
    <w:p w:rsidR="00A83EAF" w:rsidRDefault="00A83EAF" w:rsidP="00A83EAF">
      <w:pPr>
        <w:widowControl w:val="0"/>
        <w:snapToGrid w:val="0"/>
        <w:spacing w:after="0" w:line="240" w:lineRule="auto"/>
        <w:jc w:val="both"/>
        <w:rPr>
          <w:rFonts w:ascii="Times New Roman" w:hAnsi="Times New Roman"/>
          <w:b/>
          <w:i/>
          <w:sz w:val="24"/>
          <w:szCs w:val="20"/>
        </w:rPr>
      </w:pPr>
      <w:r>
        <w:rPr>
          <w:rFonts w:ascii="Times New Roman" w:hAnsi="Times New Roman"/>
          <w:b/>
          <w:i/>
          <w:sz w:val="24"/>
          <w:szCs w:val="20"/>
        </w:rPr>
        <w:t>Взаємодія з іншими лікарськими засобами та інші види взаємодій</w:t>
      </w:r>
    </w:p>
    <w:p w:rsidR="00A83EAF" w:rsidRDefault="00A83EAF" w:rsidP="00A83EAF">
      <w:pPr>
        <w:spacing w:after="0" w:line="240" w:lineRule="auto"/>
        <w:jc w:val="both"/>
        <w:rPr>
          <w:rFonts w:ascii="Times New Roman" w:hAnsi="Times New Roman"/>
          <w:sz w:val="24"/>
          <w:szCs w:val="24"/>
        </w:rPr>
      </w:pPr>
      <w:r>
        <w:rPr>
          <w:rFonts w:ascii="Times New Roman" w:hAnsi="Times New Roman"/>
          <w:sz w:val="24"/>
          <w:szCs w:val="24"/>
        </w:rPr>
        <w:t xml:space="preserve">Жодних специфічних досліджень </w:t>
      </w:r>
      <w:proofErr w:type="spellStart"/>
      <w:r>
        <w:rPr>
          <w:rFonts w:ascii="Times New Roman" w:hAnsi="Times New Roman"/>
          <w:sz w:val="24"/>
          <w:szCs w:val="24"/>
        </w:rPr>
        <w:t>фармакокінетичної</w:t>
      </w:r>
      <w:proofErr w:type="spellEnd"/>
      <w:r>
        <w:rPr>
          <w:rFonts w:ascii="Times New Roman" w:hAnsi="Times New Roman"/>
          <w:sz w:val="24"/>
          <w:szCs w:val="24"/>
        </w:rPr>
        <w:t xml:space="preserve"> взаємодії лікарського засобу не проводилося. Медикаментозні взаємодії, виявлені в дослідженнях з </w:t>
      </w:r>
      <w:proofErr w:type="spellStart"/>
      <w:r>
        <w:rPr>
          <w:rFonts w:ascii="Times New Roman" w:hAnsi="Times New Roman"/>
          <w:sz w:val="24"/>
          <w:szCs w:val="24"/>
        </w:rPr>
        <w:t>бемпедоєвою</w:t>
      </w:r>
      <w:proofErr w:type="spellEnd"/>
      <w:r>
        <w:rPr>
          <w:rFonts w:ascii="Times New Roman" w:hAnsi="Times New Roman"/>
          <w:sz w:val="24"/>
          <w:szCs w:val="24"/>
        </w:rPr>
        <w:t xml:space="preserve"> кислотою або </w:t>
      </w:r>
      <w:proofErr w:type="spellStart"/>
      <w:r>
        <w:rPr>
          <w:rFonts w:ascii="Times New Roman" w:hAnsi="Times New Roman"/>
          <w:sz w:val="24"/>
          <w:szCs w:val="24"/>
        </w:rPr>
        <w:t>езетимібом</w:t>
      </w:r>
      <w:proofErr w:type="spellEnd"/>
      <w:r>
        <w:rPr>
          <w:rFonts w:ascii="Times New Roman" w:hAnsi="Times New Roman"/>
          <w:sz w:val="24"/>
          <w:szCs w:val="24"/>
        </w:rPr>
        <w:t>, визначають взаємодії, які можуть виникати з лікарським засобом.</w:t>
      </w:r>
    </w:p>
    <w:p w:rsidR="00A83EAF" w:rsidRDefault="00A83EAF" w:rsidP="00A83EAF">
      <w:pPr>
        <w:spacing w:after="0" w:line="240" w:lineRule="auto"/>
        <w:jc w:val="both"/>
        <w:rPr>
          <w:rFonts w:ascii="Times New Roman" w:hAnsi="Times New Roman"/>
          <w:sz w:val="24"/>
          <w:szCs w:val="24"/>
        </w:rPr>
      </w:pPr>
      <w:r>
        <w:rPr>
          <w:rFonts w:ascii="Times New Roman" w:hAnsi="Times New Roman"/>
          <w:sz w:val="24"/>
          <w:szCs w:val="24"/>
          <w:u w:val="single"/>
        </w:rPr>
        <w:t>Вплив інших лікарських засобів на окремі компоненти лікарського засобу</w:t>
      </w:r>
    </w:p>
    <w:p w:rsidR="00A83EAF" w:rsidRDefault="00A83EAF" w:rsidP="00A83EAF">
      <w:pPr>
        <w:spacing w:after="0" w:line="240" w:lineRule="auto"/>
        <w:jc w:val="both"/>
        <w:rPr>
          <w:rFonts w:ascii="Times New Roman" w:hAnsi="Times New Roman"/>
          <w:sz w:val="24"/>
          <w:szCs w:val="24"/>
        </w:rPr>
      </w:pPr>
      <w:proofErr w:type="spellStart"/>
      <w:r>
        <w:rPr>
          <w:rFonts w:ascii="Times New Roman" w:hAnsi="Times New Roman"/>
          <w:i/>
          <w:iCs/>
          <w:sz w:val="24"/>
          <w:szCs w:val="24"/>
        </w:rPr>
        <w:t>Фібрати</w:t>
      </w:r>
      <w:proofErr w:type="spellEnd"/>
    </w:p>
    <w:p w:rsidR="00A83EAF" w:rsidRDefault="00A83EAF" w:rsidP="00A83EAF">
      <w:pPr>
        <w:spacing w:after="0" w:line="240" w:lineRule="auto"/>
        <w:jc w:val="both"/>
        <w:rPr>
          <w:rFonts w:ascii="Times New Roman" w:hAnsi="Times New Roman"/>
          <w:sz w:val="24"/>
          <w:szCs w:val="24"/>
        </w:rPr>
      </w:pPr>
      <w:r>
        <w:rPr>
          <w:rFonts w:ascii="Times New Roman" w:hAnsi="Times New Roman"/>
          <w:sz w:val="24"/>
          <w:szCs w:val="24"/>
        </w:rPr>
        <w:t xml:space="preserve">Супутнє застосування </w:t>
      </w:r>
      <w:proofErr w:type="spellStart"/>
      <w:r>
        <w:rPr>
          <w:rFonts w:ascii="Times New Roman" w:hAnsi="Times New Roman"/>
          <w:sz w:val="24"/>
          <w:szCs w:val="24"/>
        </w:rPr>
        <w:t>фенофібрату</w:t>
      </w:r>
      <w:proofErr w:type="spellEnd"/>
      <w:r>
        <w:rPr>
          <w:rFonts w:ascii="Times New Roman" w:hAnsi="Times New Roman"/>
          <w:sz w:val="24"/>
          <w:szCs w:val="24"/>
        </w:rPr>
        <w:t xml:space="preserve"> або </w:t>
      </w:r>
      <w:proofErr w:type="spellStart"/>
      <w:r>
        <w:rPr>
          <w:rFonts w:ascii="Times New Roman" w:hAnsi="Times New Roman"/>
          <w:sz w:val="24"/>
          <w:szCs w:val="24"/>
        </w:rPr>
        <w:t>гемфіброзилу</w:t>
      </w:r>
      <w:proofErr w:type="spellEnd"/>
      <w:r>
        <w:rPr>
          <w:rFonts w:ascii="Times New Roman" w:hAnsi="Times New Roman"/>
          <w:sz w:val="24"/>
          <w:szCs w:val="24"/>
        </w:rPr>
        <w:t xml:space="preserve"> незначно підвищувало загальну концентрацію </w:t>
      </w:r>
      <w:proofErr w:type="spellStart"/>
      <w:r>
        <w:rPr>
          <w:rFonts w:ascii="Times New Roman" w:hAnsi="Times New Roman"/>
          <w:sz w:val="24"/>
          <w:szCs w:val="24"/>
        </w:rPr>
        <w:t>езетимібу</w:t>
      </w:r>
      <w:proofErr w:type="spellEnd"/>
      <w:r>
        <w:rPr>
          <w:rFonts w:ascii="Times New Roman" w:hAnsi="Times New Roman"/>
          <w:sz w:val="24"/>
          <w:szCs w:val="24"/>
        </w:rPr>
        <w:t xml:space="preserve"> (приблизно в 1,5 та 1,7 </w:t>
      </w:r>
      <w:proofErr w:type="spellStart"/>
      <w:r>
        <w:rPr>
          <w:rFonts w:ascii="Times New Roman" w:hAnsi="Times New Roman"/>
          <w:sz w:val="24"/>
          <w:szCs w:val="24"/>
        </w:rPr>
        <w:t>раза</w:t>
      </w:r>
      <w:proofErr w:type="spellEnd"/>
      <w:r>
        <w:rPr>
          <w:rFonts w:ascii="Times New Roman" w:hAnsi="Times New Roman"/>
          <w:sz w:val="24"/>
          <w:szCs w:val="24"/>
        </w:rPr>
        <w:t xml:space="preserve"> відповідно). </w:t>
      </w:r>
      <w:proofErr w:type="spellStart"/>
      <w:r>
        <w:rPr>
          <w:rFonts w:ascii="Times New Roman" w:hAnsi="Times New Roman"/>
          <w:sz w:val="24"/>
          <w:szCs w:val="24"/>
        </w:rPr>
        <w:t>Фенофібрат</w:t>
      </w:r>
      <w:proofErr w:type="spellEnd"/>
      <w:r>
        <w:rPr>
          <w:rFonts w:ascii="Times New Roman" w:hAnsi="Times New Roman"/>
          <w:sz w:val="24"/>
          <w:szCs w:val="24"/>
        </w:rPr>
        <w:t xml:space="preserve"> може збільшувати екскрецію холестерину в жовч, що призводить до </w:t>
      </w:r>
      <w:proofErr w:type="spellStart"/>
      <w:r>
        <w:rPr>
          <w:rFonts w:ascii="Times New Roman" w:hAnsi="Times New Roman"/>
          <w:sz w:val="24"/>
          <w:szCs w:val="24"/>
        </w:rPr>
        <w:t>жовчокам’яної</w:t>
      </w:r>
      <w:proofErr w:type="spellEnd"/>
      <w:r>
        <w:rPr>
          <w:rFonts w:ascii="Times New Roman" w:hAnsi="Times New Roman"/>
          <w:sz w:val="24"/>
          <w:szCs w:val="24"/>
        </w:rPr>
        <w:t xml:space="preserve"> хвороби. </w:t>
      </w:r>
      <w:proofErr w:type="spellStart"/>
      <w:r>
        <w:rPr>
          <w:rFonts w:ascii="Times New Roman" w:hAnsi="Times New Roman"/>
          <w:sz w:val="24"/>
          <w:szCs w:val="24"/>
        </w:rPr>
        <w:t>У доклінічн</w:t>
      </w:r>
      <w:proofErr w:type="spellEnd"/>
      <w:r>
        <w:rPr>
          <w:rFonts w:ascii="Times New Roman" w:hAnsi="Times New Roman"/>
          <w:sz w:val="24"/>
          <w:szCs w:val="24"/>
        </w:rPr>
        <w:t xml:space="preserve">их дослідженнях на собаках </w:t>
      </w:r>
      <w:proofErr w:type="spellStart"/>
      <w:r>
        <w:rPr>
          <w:rFonts w:ascii="Times New Roman" w:hAnsi="Times New Roman"/>
          <w:sz w:val="24"/>
          <w:szCs w:val="24"/>
        </w:rPr>
        <w:t>езетиміб</w:t>
      </w:r>
      <w:proofErr w:type="spellEnd"/>
      <w:r>
        <w:rPr>
          <w:rFonts w:ascii="Times New Roman" w:hAnsi="Times New Roman"/>
          <w:sz w:val="24"/>
          <w:szCs w:val="24"/>
        </w:rPr>
        <w:t xml:space="preserve"> підвищував рівень холестерину в жовчі міхура. Не можна виключати </w:t>
      </w:r>
      <w:proofErr w:type="spellStart"/>
      <w:r>
        <w:rPr>
          <w:rFonts w:ascii="Times New Roman" w:hAnsi="Times New Roman"/>
          <w:sz w:val="24"/>
          <w:szCs w:val="24"/>
        </w:rPr>
        <w:t>літогенний</w:t>
      </w:r>
      <w:proofErr w:type="spellEnd"/>
      <w:r>
        <w:rPr>
          <w:rFonts w:ascii="Times New Roman" w:hAnsi="Times New Roman"/>
          <w:sz w:val="24"/>
          <w:szCs w:val="24"/>
        </w:rPr>
        <w:t xml:space="preserve"> ризик, пов’язаний з терапевтичним застосуванням лікарського засобу.</w:t>
      </w:r>
    </w:p>
    <w:p w:rsidR="00A83EAF" w:rsidRDefault="00A83EAF" w:rsidP="00A83EAF">
      <w:pPr>
        <w:spacing w:after="0" w:line="240" w:lineRule="auto"/>
        <w:jc w:val="both"/>
        <w:rPr>
          <w:rFonts w:ascii="Times New Roman" w:hAnsi="Times New Roman"/>
          <w:sz w:val="24"/>
          <w:szCs w:val="24"/>
        </w:rPr>
      </w:pPr>
      <w:r>
        <w:rPr>
          <w:rFonts w:ascii="Times New Roman" w:hAnsi="Times New Roman"/>
          <w:sz w:val="24"/>
          <w:szCs w:val="24"/>
        </w:rPr>
        <w:t xml:space="preserve">Якщо у пацієнта, який отримує лікарський засіб та </w:t>
      </w:r>
      <w:proofErr w:type="spellStart"/>
      <w:r>
        <w:rPr>
          <w:rFonts w:ascii="Times New Roman" w:hAnsi="Times New Roman"/>
          <w:sz w:val="24"/>
          <w:szCs w:val="24"/>
        </w:rPr>
        <w:t>фенофібрат</w:t>
      </w:r>
      <w:proofErr w:type="spellEnd"/>
      <w:r>
        <w:rPr>
          <w:rFonts w:ascii="Times New Roman" w:hAnsi="Times New Roman"/>
          <w:sz w:val="24"/>
          <w:szCs w:val="24"/>
        </w:rPr>
        <w:t xml:space="preserve">, підозрюється </w:t>
      </w:r>
      <w:proofErr w:type="spellStart"/>
      <w:r>
        <w:rPr>
          <w:rFonts w:ascii="Times New Roman" w:hAnsi="Times New Roman"/>
          <w:sz w:val="24"/>
          <w:szCs w:val="24"/>
        </w:rPr>
        <w:t>жовчокам’яна</w:t>
      </w:r>
      <w:proofErr w:type="spellEnd"/>
      <w:r>
        <w:rPr>
          <w:rFonts w:ascii="Times New Roman" w:hAnsi="Times New Roman"/>
          <w:sz w:val="24"/>
          <w:szCs w:val="24"/>
        </w:rPr>
        <w:t xml:space="preserve"> хвороба, показані дослідження жовчного міхура та слід розглянути альтернативну </w:t>
      </w:r>
      <w:proofErr w:type="spellStart"/>
      <w:r>
        <w:rPr>
          <w:rFonts w:ascii="Times New Roman" w:hAnsi="Times New Roman"/>
          <w:sz w:val="24"/>
          <w:szCs w:val="24"/>
        </w:rPr>
        <w:t>гіполіпідемічну</w:t>
      </w:r>
      <w:proofErr w:type="spellEnd"/>
      <w:r>
        <w:rPr>
          <w:rFonts w:ascii="Times New Roman" w:hAnsi="Times New Roman"/>
          <w:sz w:val="24"/>
          <w:szCs w:val="24"/>
        </w:rPr>
        <w:t xml:space="preserve"> терапію (див. розділ «Особливості застосування»). </w:t>
      </w:r>
      <w:proofErr w:type="spellStart"/>
      <w:r>
        <w:rPr>
          <w:rFonts w:ascii="Times New Roman" w:hAnsi="Times New Roman"/>
          <w:i/>
          <w:iCs/>
          <w:sz w:val="24"/>
          <w:szCs w:val="24"/>
        </w:rPr>
        <w:t>Циклоспорин</w:t>
      </w:r>
      <w:proofErr w:type="spellEnd"/>
    </w:p>
    <w:p w:rsidR="00A83EAF" w:rsidRDefault="00A83EAF" w:rsidP="00A83EAF">
      <w:pPr>
        <w:spacing w:after="0" w:line="240" w:lineRule="auto"/>
        <w:jc w:val="both"/>
        <w:rPr>
          <w:rFonts w:ascii="Times New Roman" w:hAnsi="Times New Roman"/>
          <w:sz w:val="24"/>
          <w:szCs w:val="24"/>
        </w:rPr>
      </w:pPr>
      <w:r>
        <w:rPr>
          <w:rFonts w:ascii="Times New Roman" w:hAnsi="Times New Roman"/>
          <w:sz w:val="24"/>
          <w:szCs w:val="24"/>
        </w:rPr>
        <w:t xml:space="preserve">У дослідженні з участю восьми пацієнтів після трансплантації нирки з кліренсом </w:t>
      </w:r>
      <w:proofErr w:type="spellStart"/>
      <w:r>
        <w:rPr>
          <w:rFonts w:ascii="Times New Roman" w:hAnsi="Times New Roman"/>
          <w:sz w:val="24"/>
          <w:szCs w:val="24"/>
        </w:rPr>
        <w:t>креатиніну</w:t>
      </w:r>
      <w:proofErr w:type="spellEnd"/>
      <w:r>
        <w:rPr>
          <w:rFonts w:ascii="Times New Roman" w:hAnsi="Times New Roman"/>
          <w:sz w:val="24"/>
          <w:szCs w:val="24"/>
        </w:rPr>
        <w:t xml:space="preserve"> &gt;50 </w:t>
      </w:r>
      <w:proofErr w:type="spellStart"/>
      <w:r>
        <w:rPr>
          <w:rFonts w:ascii="Times New Roman" w:hAnsi="Times New Roman"/>
          <w:sz w:val="24"/>
          <w:szCs w:val="24"/>
        </w:rPr>
        <w:t>мл</w:t>
      </w:r>
      <w:proofErr w:type="spellEnd"/>
      <w:r>
        <w:rPr>
          <w:rFonts w:ascii="Times New Roman" w:hAnsi="Times New Roman"/>
          <w:sz w:val="24"/>
          <w:szCs w:val="24"/>
        </w:rPr>
        <w:t>/</w:t>
      </w:r>
      <w:proofErr w:type="spellStart"/>
      <w:r>
        <w:rPr>
          <w:rFonts w:ascii="Times New Roman" w:hAnsi="Times New Roman"/>
          <w:sz w:val="24"/>
          <w:szCs w:val="24"/>
        </w:rPr>
        <w:t>хв</w:t>
      </w:r>
      <w:proofErr w:type="spellEnd"/>
      <w:r>
        <w:rPr>
          <w:rFonts w:ascii="Times New Roman" w:hAnsi="Times New Roman"/>
          <w:sz w:val="24"/>
          <w:szCs w:val="24"/>
        </w:rPr>
        <w:t xml:space="preserve">, які отримували стабільну дозу </w:t>
      </w:r>
      <w:proofErr w:type="spellStart"/>
      <w:r>
        <w:rPr>
          <w:rFonts w:ascii="Times New Roman" w:hAnsi="Times New Roman"/>
          <w:sz w:val="24"/>
          <w:szCs w:val="24"/>
        </w:rPr>
        <w:t>циклоспорину</w:t>
      </w:r>
      <w:proofErr w:type="spellEnd"/>
      <w:r>
        <w:rPr>
          <w:rFonts w:ascii="Times New Roman" w:hAnsi="Times New Roman"/>
          <w:sz w:val="24"/>
          <w:szCs w:val="24"/>
        </w:rPr>
        <w:t xml:space="preserve">, одноразова доза </w:t>
      </w:r>
      <w:proofErr w:type="spellStart"/>
      <w:r>
        <w:rPr>
          <w:rFonts w:ascii="Times New Roman" w:hAnsi="Times New Roman"/>
          <w:sz w:val="24"/>
          <w:szCs w:val="24"/>
        </w:rPr>
        <w:t>езетимібу</w:t>
      </w:r>
      <w:proofErr w:type="spellEnd"/>
      <w:r>
        <w:rPr>
          <w:rFonts w:ascii="Times New Roman" w:hAnsi="Times New Roman"/>
          <w:sz w:val="24"/>
          <w:szCs w:val="24"/>
        </w:rPr>
        <w:t xml:space="preserve"> 10 мг призвела до 3,4-кратного (діапазон від 2,3 до 7,9-кратного) збільшення середньої площі під кривою (AUC) для загального </w:t>
      </w:r>
      <w:proofErr w:type="spellStart"/>
      <w:r>
        <w:rPr>
          <w:rFonts w:ascii="Times New Roman" w:hAnsi="Times New Roman"/>
          <w:sz w:val="24"/>
          <w:szCs w:val="24"/>
        </w:rPr>
        <w:t>езетимібу</w:t>
      </w:r>
      <w:proofErr w:type="spellEnd"/>
      <w:r>
        <w:rPr>
          <w:rFonts w:ascii="Times New Roman" w:hAnsi="Times New Roman"/>
          <w:sz w:val="24"/>
          <w:szCs w:val="24"/>
        </w:rPr>
        <w:t xml:space="preserve"> порівняно зі здоровою контрольною популяцією, яка отримувала лише </w:t>
      </w:r>
      <w:proofErr w:type="spellStart"/>
      <w:r>
        <w:rPr>
          <w:rFonts w:ascii="Times New Roman" w:hAnsi="Times New Roman"/>
          <w:sz w:val="24"/>
          <w:szCs w:val="24"/>
        </w:rPr>
        <w:t>езетиміб</w:t>
      </w:r>
      <w:proofErr w:type="spellEnd"/>
      <w:r>
        <w:rPr>
          <w:rFonts w:ascii="Times New Roman" w:hAnsi="Times New Roman"/>
          <w:sz w:val="24"/>
          <w:szCs w:val="24"/>
        </w:rPr>
        <w:t xml:space="preserve">, згідно з іншим дослідженням (n=17). В іншому дослідженні пацієнт з трансплантацією нирки та тяжкою нирковою недостатністю, який отримував </w:t>
      </w:r>
      <w:proofErr w:type="spellStart"/>
      <w:r>
        <w:rPr>
          <w:rFonts w:ascii="Times New Roman" w:hAnsi="Times New Roman"/>
          <w:sz w:val="24"/>
          <w:szCs w:val="24"/>
        </w:rPr>
        <w:t>циклоспорин</w:t>
      </w:r>
      <w:proofErr w:type="spellEnd"/>
      <w:r>
        <w:rPr>
          <w:rFonts w:ascii="Times New Roman" w:hAnsi="Times New Roman"/>
          <w:sz w:val="24"/>
          <w:szCs w:val="24"/>
        </w:rPr>
        <w:t xml:space="preserve"> та кілька інших лікарських засобів, продемонстрував у 12 разів більшу експозицію до загального </w:t>
      </w:r>
      <w:proofErr w:type="spellStart"/>
      <w:r>
        <w:rPr>
          <w:rFonts w:ascii="Times New Roman" w:hAnsi="Times New Roman"/>
          <w:sz w:val="24"/>
          <w:szCs w:val="24"/>
        </w:rPr>
        <w:t>езетимібу</w:t>
      </w:r>
      <w:proofErr w:type="spellEnd"/>
      <w:r>
        <w:rPr>
          <w:rFonts w:ascii="Times New Roman" w:hAnsi="Times New Roman"/>
          <w:sz w:val="24"/>
          <w:szCs w:val="24"/>
        </w:rPr>
        <w:t xml:space="preserve"> порівняно з </w:t>
      </w:r>
      <w:r>
        <w:rPr>
          <w:rFonts w:ascii="Times New Roman" w:hAnsi="Times New Roman"/>
          <w:sz w:val="24"/>
          <w:szCs w:val="24"/>
        </w:rPr>
        <w:lastRenderedPageBreak/>
        <w:t xml:space="preserve">одночасною контрольною групою, яка отримувала лише </w:t>
      </w:r>
      <w:proofErr w:type="spellStart"/>
      <w:r>
        <w:rPr>
          <w:rFonts w:ascii="Times New Roman" w:hAnsi="Times New Roman"/>
          <w:sz w:val="24"/>
          <w:szCs w:val="24"/>
        </w:rPr>
        <w:t>езетиміб</w:t>
      </w:r>
      <w:proofErr w:type="spellEnd"/>
      <w:r>
        <w:rPr>
          <w:rFonts w:ascii="Times New Roman" w:hAnsi="Times New Roman"/>
          <w:sz w:val="24"/>
          <w:szCs w:val="24"/>
        </w:rPr>
        <w:t xml:space="preserve">. У </w:t>
      </w:r>
      <w:proofErr w:type="spellStart"/>
      <w:r>
        <w:rPr>
          <w:rFonts w:ascii="Times New Roman" w:hAnsi="Times New Roman"/>
          <w:sz w:val="24"/>
          <w:szCs w:val="24"/>
        </w:rPr>
        <w:t>двоперіодному</w:t>
      </w:r>
      <w:proofErr w:type="spellEnd"/>
      <w:r>
        <w:rPr>
          <w:rFonts w:ascii="Times New Roman" w:hAnsi="Times New Roman"/>
          <w:sz w:val="24"/>
          <w:szCs w:val="24"/>
        </w:rPr>
        <w:t xml:space="preserve"> перехресному дослідженні з участю 12 здорових добровольців щоденне застосування </w:t>
      </w:r>
      <w:proofErr w:type="spellStart"/>
      <w:r>
        <w:rPr>
          <w:rFonts w:ascii="Times New Roman" w:hAnsi="Times New Roman"/>
          <w:sz w:val="24"/>
          <w:szCs w:val="24"/>
        </w:rPr>
        <w:t>езетимібу</w:t>
      </w:r>
      <w:proofErr w:type="spellEnd"/>
      <w:r>
        <w:rPr>
          <w:rFonts w:ascii="Times New Roman" w:hAnsi="Times New Roman"/>
          <w:sz w:val="24"/>
          <w:szCs w:val="24"/>
        </w:rPr>
        <w:t xml:space="preserve"> 20 мг протягом 8 днів з одноразовою дозою </w:t>
      </w:r>
      <w:proofErr w:type="spellStart"/>
      <w:r>
        <w:rPr>
          <w:rFonts w:ascii="Times New Roman" w:hAnsi="Times New Roman"/>
          <w:sz w:val="24"/>
          <w:szCs w:val="24"/>
        </w:rPr>
        <w:t>циклоспорину</w:t>
      </w:r>
      <w:proofErr w:type="spellEnd"/>
      <w:r>
        <w:rPr>
          <w:rFonts w:ascii="Times New Roman" w:hAnsi="Times New Roman"/>
          <w:sz w:val="24"/>
          <w:szCs w:val="24"/>
        </w:rPr>
        <w:t xml:space="preserve"> 100 мг на 7-й день призвело до середнього збільшення AUC </w:t>
      </w:r>
      <w:proofErr w:type="spellStart"/>
      <w:r>
        <w:rPr>
          <w:rFonts w:ascii="Times New Roman" w:hAnsi="Times New Roman"/>
          <w:sz w:val="24"/>
          <w:szCs w:val="24"/>
        </w:rPr>
        <w:t>циклоспорину</w:t>
      </w:r>
      <w:proofErr w:type="spellEnd"/>
      <w:r>
        <w:rPr>
          <w:rFonts w:ascii="Times New Roman" w:hAnsi="Times New Roman"/>
          <w:sz w:val="24"/>
          <w:szCs w:val="24"/>
        </w:rPr>
        <w:t xml:space="preserve"> на 15 % (діапазон зниження від 10 % до збільшення на 51 %) порівняно з одноразовою дозою </w:t>
      </w:r>
      <w:proofErr w:type="spellStart"/>
      <w:r>
        <w:rPr>
          <w:rFonts w:ascii="Times New Roman" w:hAnsi="Times New Roman"/>
          <w:sz w:val="24"/>
          <w:szCs w:val="24"/>
        </w:rPr>
        <w:t>циклоспорину</w:t>
      </w:r>
      <w:proofErr w:type="spellEnd"/>
      <w:r>
        <w:rPr>
          <w:rFonts w:ascii="Times New Roman" w:hAnsi="Times New Roman"/>
          <w:sz w:val="24"/>
          <w:szCs w:val="24"/>
        </w:rPr>
        <w:t xml:space="preserve"> 100 мг окремо. Контрольоване дослідження впливу одночасного застосування </w:t>
      </w:r>
      <w:proofErr w:type="spellStart"/>
      <w:r>
        <w:rPr>
          <w:rFonts w:ascii="Times New Roman" w:hAnsi="Times New Roman"/>
          <w:sz w:val="24"/>
          <w:szCs w:val="24"/>
        </w:rPr>
        <w:t>езетимібу</w:t>
      </w:r>
      <w:proofErr w:type="spellEnd"/>
      <w:r>
        <w:rPr>
          <w:rFonts w:ascii="Times New Roman" w:hAnsi="Times New Roman"/>
          <w:sz w:val="24"/>
          <w:szCs w:val="24"/>
        </w:rPr>
        <w:t xml:space="preserve"> на експозицію </w:t>
      </w:r>
      <w:proofErr w:type="spellStart"/>
      <w:r>
        <w:rPr>
          <w:rFonts w:ascii="Times New Roman" w:hAnsi="Times New Roman"/>
          <w:sz w:val="24"/>
          <w:szCs w:val="24"/>
        </w:rPr>
        <w:t>циклоспорину</w:t>
      </w:r>
      <w:proofErr w:type="spellEnd"/>
      <w:r>
        <w:rPr>
          <w:rFonts w:ascii="Times New Roman" w:hAnsi="Times New Roman"/>
          <w:sz w:val="24"/>
          <w:szCs w:val="24"/>
        </w:rPr>
        <w:t xml:space="preserve"> у пацієнтів з трансплантацією нирки не проводилося. Слід бути обережним на початку застосування лікарського засобу одночасно з </w:t>
      </w:r>
      <w:proofErr w:type="spellStart"/>
      <w:r>
        <w:rPr>
          <w:rFonts w:ascii="Times New Roman" w:hAnsi="Times New Roman"/>
          <w:sz w:val="24"/>
          <w:szCs w:val="24"/>
        </w:rPr>
        <w:t>циклоспорином</w:t>
      </w:r>
      <w:proofErr w:type="spellEnd"/>
      <w:r>
        <w:rPr>
          <w:rFonts w:ascii="Times New Roman" w:hAnsi="Times New Roman"/>
          <w:sz w:val="24"/>
          <w:szCs w:val="24"/>
        </w:rPr>
        <w:t xml:space="preserve">. Концентрації </w:t>
      </w:r>
      <w:proofErr w:type="spellStart"/>
      <w:r>
        <w:rPr>
          <w:rFonts w:ascii="Times New Roman" w:hAnsi="Times New Roman"/>
          <w:sz w:val="24"/>
          <w:szCs w:val="24"/>
        </w:rPr>
        <w:t>циклоспорину</w:t>
      </w:r>
      <w:proofErr w:type="spellEnd"/>
      <w:r>
        <w:rPr>
          <w:rFonts w:ascii="Times New Roman" w:hAnsi="Times New Roman"/>
          <w:sz w:val="24"/>
          <w:szCs w:val="24"/>
        </w:rPr>
        <w:t xml:space="preserve"> слід контролювати у пацієнтів, які отримують лікарський засіб та </w:t>
      </w:r>
      <w:proofErr w:type="spellStart"/>
      <w:r>
        <w:rPr>
          <w:rFonts w:ascii="Times New Roman" w:hAnsi="Times New Roman"/>
          <w:sz w:val="24"/>
          <w:szCs w:val="24"/>
        </w:rPr>
        <w:t>циклоспорин</w:t>
      </w:r>
      <w:proofErr w:type="spellEnd"/>
      <w:r>
        <w:rPr>
          <w:rFonts w:ascii="Times New Roman" w:hAnsi="Times New Roman"/>
          <w:sz w:val="24"/>
          <w:szCs w:val="24"/>
        </w:rPr>
        <w:t xml:space="preserve"> (див. розділ «Особливості застосування»).</w:t>
      </w:r>
    </w:p>
    <w:p w:rsidR="00A83EAF" w:rsidRDefault="00A83EAF" w:rsidP="00A83EAF">
      <w:pPr>
        <w:spacing w:after="0" w:line="240" w:lineRule="auto"/>
        <w:jc w:val="both"/>
        <w:rPr>
          <w:rFonts w:ascii="Times New Roman" w:hAnsi="Times New Roman"/>
          <w:sz w:val="24"/>
          <w:szCs w:val="24"/>
        </w:rPr>
      </w:pPr>
      <w:proofErr w:type="spellStart"/>
      <w:r>
        <w:rPr>
          <w:rFonts w:ascii="Times New Roman" w:hAnsi="Times New Roman"/>
          <w:i/>
          <w:iCs/>
          <w:sz w:val="24"/>
          <w:szCs w:val="24"/>
        </w:rPr>
        <w:t>Холестирамін</w:t>
      </w:r>
      <w:proofErr w:type="spellEnd"/>
    </w:p>
    <w:p w:rsidR="00A83EAF" w:rsidRDefault="00A83EAF" w:rsidP="00A83EAF">
      <w:pPr>
        <w:spacing w:after="0" w:line="240" w:lineRule="auto"/>
        <w:jc w:val="both"/>
        <w:rPr>
          <w:rFonts w:ascii="Times New Roman" w:hAnsi="Times New Roman"/>
          <w:sz w:val="24"/>
          <w:szCs w:val="24"/>
        </w:rPr>
      </w:pPr>
      <w:r>
        <w:rPr>
          <w:rFonts w:ascii="Times New Roman" w:hAnsi="Times New Roman"/>
          <w:sz w:val="24"/>
          <w:szCs w:val="24"/>
        </w:rPr>
        <w:t xml:space="preserve">Супутнє застосування </w:t>
      </w:r>
      <w:proofErr w:type="spellStart"/>
      <w:r>
        <w:rPr>
          <w:rFonts w:ascii="Times New Roman" w:hAnsi="Times New Roman"/>
          <w:sz w:val="24"/>
          <w:szCs w:val="24"/>
        </w:rPr>
        <w:t>холестираміну</w:t>
      </w:r>
      <w:proofErr w:type="spellEnd"/>
      <w:r>
        <w:rPr>
          <w:rFonts w:ascii="Times New Roman" w:hAnsi="Times New Roman"/>
          <w:sz w:val="24"/>
          <w:szCs w:val="24"/>
        </w:rPr>
        <w:t xml:space="preserve"> зменшило середню площу під кривою (AUC) загального </w:t>
      </w:r>
      <w:proofErr w:type="spellStart"/>
      <w:r>
        <w:rPr>
          <w:rFonts w:ascii="Times New Roman" w:hAnsi="Times New Roman"/>
          <w:sz w:val="24"/>
          <w:szCs w:val="24"/>
        </w:rPr>
        <w:t>езетимібу</w:t>
      </w:r>
      <w:proofErr w:type="spellEnd"/>
      <w:r>
        <w:rPr>
          <w:rFonts w:ascii="Times New Roman" w:hAnsi="Times New Roman"/>
          <w:sz w:val="24"/>
          <w:szCs w:val="24"/>
        </w:rPr>
        <w:t xml:space="preserve"> (</w:t>
      </w:r>
      <w:proofErr w:type="spellStart"/>
      <w:r>
        <w:rPr>
          <w:rFonts w:ascii="Times New Roman" w:hAnsi="Times New Roman"/>
          <w:sz w:val="24"/>
          <w:szCs w:val="24"/>
        </w:rPr>
        <w:t>езетиміб</w:t>
      </w:r>
      <w:proofErr w:type="spellEnd"/>
      <w:r>
        <w:rPr>
          <w:rFonts w:ascii="Times New Roman" w:hAnsi="Times New Roman"/>
          <w:sz w:val="24"/>
          <w:szCs w:val="24"/>
        </w:rPr>
        <w:t xml:space="preserve"> плюс </w:t>
      </w:r>
      <w:proofErr w:type="spellStart"/>
      <w:r>
        <w:rPr>
          <w:rFonts w:ascii="Times New Roman" w:hAnsi="Times New Roman"/>
          <w:sz w:val="24"/>
          <w:szCs w:val="24"/>
        </w:rPr>
        <w:t>езетиміб</w:t>
      </w:r>
      <w:proofErr w:type="spellEnd"/>
      <w:r>
        <w:rPr>
          <w:rFonts w:ascii="Times New Roman" w:hAnsi="Times New Roman"/>
          <w:sz w:val="24"/>
          <w:szCs w:val="24"/>
        </w:rPr>
        <w:t xml:space="preserve"> </w:t>
      </w:r>
      <w:proofErr w:type="spellStart"/>
      <w:r>
        <w:rPr>
          <w:rFonts w:ascii="Times New Roman" w:hAnsi="Times New Roman"/>
          <w:sz w:val="24"/>
          <w:szCs w:val="24"/>
        </w:rPr>
        <w:t>глюкуронід</w:t>
      </w:r>
      <w:proofErr w:type="spellEnd"/>
      <w:r>
        <w:rPr>
          <w:rFonts w:ascii="Times New Roman" w:hAnsi="Times New Roman"/>
          <w:sz w:val="24"/>
          <w:szCs w:val="24"/>
        </w:rPr>
        <w:t xml:space="preserve">) приблизно на 55 %. Поступове зниження рівня холестерину </w:t>
      </w:r>
      <w:proofErr w:type="spellStart"/>
      <w:r>
        <w:rPr>
          <w:rFonts w:ascii="Times New Roman" w:hAnsi="Times New Roman"/>
          <w:sz w:val="24"/>
          <w:szCs w:val="24"/>
        </w:rPr>
        <w:t>ліпопротеїнів</w:t>
      </w:r>
      <w:proofErr w:type="spellEnd"/>
      <w:r>
        <w:rPr>
          <w:rFonts w:ascii="Times New Roman" w:hAnsi="Times New Roman"/>
          <w:sz w:val="24"/>
          <w:szCs w:val="24"/>
        </w:rPr>
        <w:t xml:space="preserve"> низької щільності (ХС ЛПНЩ) внаслідок додавання лікарського засобу до </w:t>
      </w:r>
      <w:proofErr w:type="spellStart"/>
      <w:r>
        <w:rPr>
          <w:rFonts w:ascii="Times New Roman" w:hAnsi="Times New Roman"/>
          <w:sz w:val="24"/>
          <w:szCs w:val="24"/>
        </w:rPr>
        <w:t>холестираміну</w:t>
      </w:r>
      <w:proofErr w:type="spellEnd"/>
      <w:r>
        <w:rPr>
          <w:rFonts w:ascii="Times New Roman" w:hAnsi="Times New Roman"/>
          <w:sz w:val="24"/>
          <w:szCs w:val="24"/>
        </w:rPr>
        <w:t xml:space="preserve"> може бути зменшене внаслідок цієї взаємодії (див. розділ «Спосіб застосування та дози»).</w:t>
      </w:r>
    </w:p>
    <w:p w:rsidR="00A83EAF" w:rsidRDefault="00A83EAF" w:rsidP="00A83EAF">
      <w:pPr>
        <w:spacing w:after="0" w:line="240" w:lineRule="auto"/>
        <w:jc w:val="both"/>
        <w:rPr>
          <w:rFonts w:ascii="Times New Roman" w:hAnsi="Times New Roman"/>
          <w:sz w:val="24"/>
          <w:szCs w:val="24"/>
        </w:rPr>
      </w:pPr>
      <w:r>
        <w:rPr>
          <w:rFonts w:ascii="Times New Roman" w:hAnsi="Times New Roman"/>
          <w:i/>
          <w:iCs/>
          <w:sz w:val="24"/>
          <w:szCs w:val="24"/>
        </w:rPr>
        <w:t>Взаємодія лікарських засобів, опосередкована транспортерами</w:t>
      </w:r>
    </w:p>
    <w:p w:rsidR="00A83EAF" w:rsidRDefault="00A83EAF" w:rsidP="00A83EAF">
      <w:pPr>
        <w:spacing w:after="0" w:line="240" w:lineRule="auto"/>
        <w:jc w:val="both"/>
        <w:rPr>
          <w:rFonts w:ascii="Times New Roman" w:hAnsi="Times New Roman"/>
          <w:sz w:val="24"/>
          <w:szCs w:val="24"/>
        </w:rPr>
      </w:pPr>
      <w:r>
        <w:rPr>
          <w:rFonts w:ascii="Times New Roman" w:hAnsi="Times New Roman"/>
          <w:i/>
          <w:iCs/>
          <w:sz w:val="24"/>
          <w:szCs w:val="24"/>
        </w:rPr>
        <w:t xml:space="preserve">Дослідження взаємодії лікарських засобів </w:t>
      </w:r>
      <w:proofErr w:type="spellStart"/>
      <w:r>
        <w:rPr>
          <w:rFonts w:ascii="Times New Roman" w:hAnsi="Times New Roman"/>
          <w:i/>
          <w:iCs/>
          <w:sz w:val="24"/>
          <w:szCs w:val="24"/>
        </w:rPr>
        <w:t>in</w:t>
      </w:r>
      <w:proofErr w:type="spellEnd"/>
      <w:r>
        <w:rPr>
          <w:rFonts w:ascii="Times New Roman" w:hAnsi="Times New Roman"/>
          <w:i/>
          <w:iCs/>
          <w:sz w:val="24"/>
          <w:szCs w:val="24"/>
        </w:rPr>
        <w:t xml:space="preserve"> </w:t>
      </w:r>
      <w:proofErr w:type="spellStart"/>
      <w:r>
        <w:rPr>
          <w:rFonts w:ascii="Times New Roman" w:hAnsi="Times New Roman"/>
          <w:i/>
          <w:iCs/>
          <w:sz w:val="24"/>
          <w:szCs w:val="24"/>
        </w:rPr>
        <w:t>vitro</w:t>
      </w:r>
      <w:proofErr w:type="spellEnd"/>
      <w:r>
        <w:rPr>
          <w:rFonts w:ascii="Times New Roman" w:hAnsi="Times New Roman"/>
          <w:sz w:val="24"/>
          <w:szCs w:val="24"/>
        </w:rPr>
        <w:t xml:space="preserve"> показують, що </w:t>
      </w:r>
      <w:proofErr w:type="spellStart"/>
      <w:r>
        <w:rPr>
          <w:rFonts w:ascii="Times New Roman" w:hAnsi="Times New Roman"/>
          <w:sz w:val="24"/>
          <w:szCs w:val="24"/>
        </w:rPr>
        <w:t>бемпедоєва</w:t>
      </w:r>
      <w:proofErr w:type="spellEnd"/>
      <w:r>
        <w:rPr>
          <w:rFonts w:ascii="Times New Roman" w:hAnsi="Times New Roman"/>
          <w:sz w:val="24"/>
          <w:szCs w:val="24"/>
        </w:rPr>
        <w:t xml:space="preserve"> кислота, а також її активний метаболіт та </w:t>
      </w:r>
      <w:proofErr w:type="spellStart"/>
      <w:r>
        <w:rPr>
          <w:rFonts w:ascii="Times New Roman" w:hAnsi="Times New Roman"/>
          <w:sz w:val="24"/>
          <w:szCs w:val="24"/>
        </w:rPr>
        <w:t>глюкуронідна</w:t>
      </w:r>
      <w:proofErr w:type="spellEnd"/>
      <w:r>
        <w:rPr>
          <w:rFonts w:ascii="Times New Roman" w:hAnsi="Times New Roman"/>
          <w:sz w:val="24"/>
          <w:szCs w:val="24"/>
        </w:rPr>
        <w:t xml:space="preserve"> форма не є субстратами загальновживаних транспортерів ліків, за винятком </w:t>
      </w:r>
      <w:proofErr w:type="spellStart"/>
      <w:r>
        <w:rPr>
          <w:rFonts w:ascii="Times New Roman" w:hAnsi="Times New Roman"/>
          <w:sz w:val="24"/>
          <w:szCs w:val="24"/>
        </w:rPr>
        <w:t>глюкуроніду</w:t>
      </w:r>
      <w:proofErr w:type="spellEnd"/>
      <w:r>
        <w:rPr>
          <w:rFonts w:ascii="Times New Roman" w:hAnsi="Times New Roman"/>
          <w:sz w:val="24"/>
          <w:szCs w:val="24"/>
        </w:rPr>
        <w:t xml:space="preserve"> </w:t>
      </w:r>
      <w:proofErr w:type="spellStart"/>
      <w:r>
        <w:rPr>
          <w:rFonts w:ascii="Times New Roman" w:hAnsi="Times New Roman"/>
          <w:sz w:val="24"/>
          <w:szCs w:val="24"/>
        </w:rPr>
        <w:t>бемпедоєвої</w:t>
      </w:r>
      <w:proofErr w:type="spellEnd"/>
      <w:r>
        <w:rPr>
          <w:rFonts w:ascii="Times New Roman" w:hAnsi="Times New Roman"/>
          <w:sz w:val="24"/>
          <w:szCs w:val="24"/>
        </w:rPr>
        <w:t xml:space="preserve"> кислоти, який є субстратом OAT3.</w:t>
      </w:r>
    </w:p>
    <w:p w:rsidR="00A83EAF" w:rsidRDefault="00A83EAF" w:rsidP="00A83EAF">
      <w:pPr>
        <w:spacing w:after="0" w:line="240" w:lineRule="auto"/>
        <w:jc w:val="both"/>
        <w:rPr>
          <w:rFonts w:ascii="Times New Roman" w:hAnsi="Times New Roman"/>
          <w:sz w:val="24"/>
          <w:szCs w:val="24"/>
        </w:rPr>
      </w:pPr>
      <w:proofErr w:type="spellStart"/>
      <w:r>
        <w:rPr>
          <w:rFonts w:ascii="Times New Roman" w:hAnsi="Times New Roman"/>
          <w:i/>
          <w:iCs/>
          <w:sz w:val="24"/>
          <w:szCs w:val="24"/>
        </w:rPr>
        <w:t>Пробенецид</w:t>
      </w:r>
      <w:proofErr w:type="spellEnd"/>
    </w:p>
    <w:p w:rsidR="00A83EAF" w:rsidRDefault="00A83EAF" w:rsidP="00A83EAF">
      <w:pPr>
        <w:spacing w:after="0" w:line="240" w:lineRule="auto"/>
        <w:jc w:val="both"/>
        <w:rPr>
          <w:rFonts w:ascii="Times New Roman" w:hAnsi="Times New Roman"/>
          <w:sz w:val="24"/>
          <w:szCs w:val="24"/>
        </w:rPr>
      </w:pPr>
      <w:proofErr w:type="spellStart"/>
      <w:r>
        <w:rPr>
          <w:rFonts w:ascii="Times New Roman" w:hAnsi="Times New Roman"/>
          <w:sz w:val="24"/>
          <w:szCs w:val="24"/>
        </w:rPr>
        <w:t>Пробенецид</w:t>
      </w:r>
      <w:proofErr w:type="spellEnd"/>
      <w:r>
        <w:rPr>
          <w:rFonts w:ascii="Times New Roman" w:hAnsi="Times New Roman"/>
          <w:sz w:val="24"/>
          <w:szCs w:val="24"/>
        </w:rPr>
        <w:t xml:space="preserve">, інгібітор </w:t>
      </w:r>
      <w:proofErr w:type="spellStart"/>
      <w:r>
        <w:rPr>
          <w:rFonts w:ascii="Times New Roman" w:hAnsi="Times New Roman"/>
          <w:sz w:val="24"/>
          <w:szCs w:val="24"/>
        </w:rPr>
        <w:t>глюкуронідної</w:t>
      </w:r>
      <w:proofErr w:type="spellEnd"/>
      <w:r>
        <w:rPr>
          <w:rFonts w:ascii="Times New Roman" w:hAnsi="Times New Roman"/>
          <w:sz w:val="24"/>
          <w:szCs w:val="24"/>
        </w:rPr>
        <w:t xml:space="preserve"> кон’югації, досліджували для оцінки потенційного впливу цих інгібіторів на фармакокінетику </w:t>
      </w:r>
      <w:proofErr w:type="spellStart"/>
      <w:r>
        <w:rPr>
          <w:rFonts w:ascii="Times New Roman" w:hAnsi="Times New Roman"/>
          <w:sz w:val="24"/>
          <w:szCs w:val="24"/>
        </w:rPr>
        <w:t>бемпедоєвої</w:t>
      </w:r>
      <w:proofErr w:type="spellEnd"/>
      <w:r>
        <w:rPr>
          <w:rFonts w:ascii="Times New Roman" w:hAnsi="Times New Roman"/>
          <w:sz w:val="24"/>
          <w:szCs w:val="24"/>
        </w:rPr>
        <w:t xml:space="preserve"> кислоти. Введення 180 мг </w:t>
      </w:r>
      <w:proofErr w:type="spellStart"/>
      <w:r>
        <w:rPr>
          <w:rFonts w:ascii="Times New Roman" w:hAnsi="Times New Roman"/>
          <w:sz w:val="24"/>
          <w:szCs w:val="24"/>
        </w:rPr>
        <w:t>бемпедоєвої</w:t>
      </w:r>
      <w:proofErr w:type="spellEnd"/>
      <w:r>
        <w:rPr>
          <w:rFonts w:ascii="Times New Roman" w:hAnsi="Times New Roman"/>
          <w:sz w:val="24"/>
          <w:szCs w:val="24"/>
        </w:rPr>
        <w:t xml:space="preserve"> кислоти разом із </w:t>
      </w:r>
      <w:proofErr w:type="spellStart"/>
      <w:r>
        <w:rPr>
          <w:rFonts w:ascii="Times New Roman" w:hAnsi="Times New Roman"/>
          <w:sz w:val="24"/>
          <w:szCs w:val="24"/>
        </w:rPr>
        <w:t>пробенецидом</w:t>
      </w:r>
      <w:proofErr w:type="spellEnd"/>
      <w:r>
        <w:rPr>
          <w:rFonts w:ascii="Times New Roman" w:hAnsi="Times New Roman"/>
          <w:sz w:val="24"/>
          <w:szCs w:val="24"/>
        </w:rPr>
        <w:t xml:space="preserve"> у стаціонарному стані призвело до збільшення AUC </w:t>
      </w:r>
      <w:proofErr w:type="spellStart"/>
      <w:r>
        <w:rPr>
          <w:rFonts w:ascii="Times New Roman" w:hAnsi="Times New Roman"/>
          <w:sz w:val="24"/>
          <w:szCs w:val="24"/>
        </w:rPr>
        <w:t>бемпедоєвої</w:t>
      </w:r>
      <w:proofErr w:type="spellEnd"/>
      <w:r>
        <w:rPr>
          <w:rFonts w:ascii="Times New Roman" w:hAnsi="Times New Roman"/>
          <w:sz w:val="24"/>
          <w:szCs w:val="24"/>
        </w:rPr>
        <w:t xml:space="preserve"> кислоти в 1,7 </w:t>
      </w:r>
      <w:proofErr w:type="spellStart"/>
      <w:r>
        <w:rPr>
          <w:rFonts w:ascii="Times New Roman" w:hAnsi="Times New Roman"/>
          <w:sz w:val="24"/>
          <w:szCs w:val="24"/>
        </w:rPr>
        <w:t>раза</w:t>
      </w:r>
      <w:proofErr w:type="spellEnd"/>
      <w:r>
        <w:rPr>
          <w:rFonts w:ascii="Times New Roman" w:hAnsi="Times New Roman"/>
          <w:sz w:val="24"/>
          <w:szCs w:val="24"/>
        </w:rPr>
        <w:t xml:space="preserve"> та збільшення AUC активного метаболіту </w:t>
      </w:r>
      <w:proofErr w:type="spellStart"/>
      <w:r>
        <w:rPr>
          <w:rFonts w:ascii="Times New Roman" w:hAnsi="Times New Roman"/>
          <w:sz w:val="24"/>
          <w:szCs w:val="24"/>
        </w:rPr>
        <w:t>бемпедоєвої</w:t>
      </w:r>
      <w:proofErr w:type="spellEnd"/>
      <w:r>
        <w:rPr>
          <w:rFonts w:ascii="Times New Roman" w:hAnsi="Times New Roman"/>
          <w:sz w:val="24"/>
          <w:szCs w:val="24"/>
        </w:rPr>
        <w:t xml:space="preserve"> кислоти (ESP15228) в 1,9 </w:t>
      </w:r>
      <w:proofErr w:type="spellStart"/>
      <w:r>
        <w:rPr>
          <w:rFonts w:ascii="Times New Roman" w:hAnsi="Times New Roman"/>
          <w:sz w:val="24"/>
          <w:szCs w:val="24"/>
        </w:rPr>
        <w:t>раза</w:t>
      </w:r>
      <w:proofErr w:type="spellEnd"/>
      <w:r>
        <w:rPr>
          <w:rFonts w:ascii="Times New Roman" w:hAnsi="Times New Roman"/>
          <w:sz w:val="24"/>
          <w:szCs w:val="24"/>
        </w:rPr>
        <w:t>. Це підвищення не є клінічно значущим і не впливає на рекомендації щодо дозування.</w:t>
      </w:r>
    </w:p>
    <w:p w:rsidR="00A83EAF" w:rsidRDefault="00A83EAF" w:rsidP="00A83EAF">
      <w:pPr>
        <w:spacing w:after="0" w:line="240" w:lineRule="auto"/>
        <w:jc w:val="both"/>
        <w:rPr>
          <w:rFonts w:ascii="Times New Roman" w:hAnsi="Times New Roman"/>
          <w:sz w:val="24"/>
          <w:szCs w:val="24"/>
          <w:u w:val="single"/>
        </w:rPr>
      </w:pPr>
      <w:r>
        <w:rPr>
          <w:rFonts w:ascii="Times New Roman" w:hAnsi="Times New Roman"/>
          <w:sz w:val="24"/>
          <w:szCs w:val="24"/>
          <w:u w:val="single"/>
        </w:rPr>
        <w:t>Вплив окремих компонентів лікарського засобу на інші засоби</w:t>
      </w:r>
    </w:p>
    <w:p w:rsidR="00A83EAF" w:rsidRDefault="00A83EAF" w:rsidP="00A83EAF">
      <w:pPr>
        <w:spacing w:after="0" w:line="240" w:lineRule="auto"/>
        <w:jc w:val="both"/>
        <w:rPr>
          <w:rFonts w:ascii="Times New Roman" w:hAnsi="Times New Roman"/>
          <w:sz w:val="24"/>
          <w:szCs w:val="24"/>
        </w:rPr>
      </w:pPr>
      <w:proofErr w:type="spellStart"/>
      <w:r>
        <w:rPr>
          <w:rFonts w:ascii="Times New Roman" w:hAnsi="Times New Roman"/>
          <w:i/>
          <w:iCs/>
          <w:sz w:val="24"/>
          <w:szCs w:val="24"/>
        </w:rPr>
        <w:t>Статини</w:t>
      </w:r>
      <w:proofErr w:type="spellEnd"/>
    </w:p>
    <w:p w:rsidR="00A83EAF" w:rsidRDefault="00A83EAF" w:rsidP="00A83EAF">
      <w:pPr>
        <w:spacing w:after="0" w:line="240" w:lineRule="auto"/>
        <w:jc w:val="both"/>
        <w:rPr>
          <w:rFonts w:ascii="Times New Roman" w:hAnsi="Times New Roman"/>
          <w:sz w:val="24"/>
          <w:szCs w:val="24"/>
        </w:rPr>
      </w:pPr>
      <w:proofErr w:type="spellStart"/>
      <w:r>
        <w:rPr>
          <w:rFonts w:ascii="Times New Roman" w:hAnsi="Times New Roman"/>
          <w:sz w:val="24"/>
          <w:szCs w:val="24"/>
        </w:rPr>
        <w:t>Фармакокінетичні</w:t>
      </w:r>
      <w:proofErr w:type="spellEnd"/>
      <w:r>
        <w:rPr>
          <w:rFonts w:ascii="Times New Roman" w:hAnsi="Times New Roman"/>
          <w:sz w:val="24"/>
          <w:szCs w:val="24"/>
        </w:rPr>
        <w:t xml:space="preserve"> взаємодії між </w:t>
      </w:r>
      <w:proofErr w:type="spellStart"/>
      <w:r>
        <w:rPr>
          <w:rFonts w:ascii="Times New Roman" w:hAnsi="Times New Roman"/>
          <w:sz w:val="24"/>
          <w:szCs w:val="24"/>
        </w:rPr>
        <w:t>бемпедоєвою</w:t>
      </w:r>
      <w:proofErr w:type="spellEnd"/>
      <w:r>
        <w:rPr>
          <w:rFonts w:ascii="Times New Roman" w:hAnsi="Times New Roman"/>
          <w:sz w:val="24"/>
          <w:szCs w:val="24"/>
        </w:rPr>
        <w:t xml:space="preserve"> кислотою 180 мг та </w:t>
      </w:r>
      <w:proofErr w:type="spellStart"/>
      <w:r>
        <w:rPr>
          <w:rFonts w:ascii="Times New Roman" w:hAnsi="Times New Roman"/>
          <w:sz w:val="24"/>
          <w:szCs w:val="24"/>
        </w:rPr>
        <w:t>симвастатином</w:t>
      </w:r>
      <w:proofErr w:type="spellEnd"/>
      <w:r>
        <w:rPr>
          <w:rFonts w:ascii="Times New Roman" w:hAnsi="Times New Roman"/>
          <w:sz w:val="24"/>
          <w:szCs w:val="24"/>
        </w:rPr>
        <w:t xml:space="preserve"> 40 мг, </w:t>
      </w:r>
      <w:proofErr w:type="spellStart"/>
      <w:r>
        <w:rPr>
          <w:rFonts w:ascii="Times New Roman" w:hAnsi="Times New Roman"/>
          <w:sz w:val="24"/>
          <w:szCs w:val="24"/>
        </w:rPr>
        <w:t>аторвастатином</w:t>
      </w:r>
      <w:proofErr w:type="spellEnd"/>
      <w:r>
        <w:rPr>
          <w:rFonts w:ascii="Times New Roman" w:hAnsi="Times New Roman"/>
          <w:sz w:val="24"/>
          <w:szCs w:val="24"/>
        </w:rPr>
        <w:t xml:space="preserve"> 80 мг, </w:t>
      </w:r>
      <w:proofErr w:type="spellStart"/>
      <w:r>
        <w:rPr>
          <w:rFonts w:ascii="Times New Roman" w:hAnsi="Times New Roman"/>
          <w:sz w:val="24"/>
          <w:szCs w:val="24"/>
        </w:rPr>
        <w:t>правастатином</w:t>
      </w:r>
      <w:proofErr w:type="spellEnd"/>
      <w:r>
        <w:rPr>
          <w:rFonts w:ascii="Times New Roman" w:hAnsi="Times New Roman"/>
          <w:sz w:val="24"/>
          <w:szCs w:val="24"/>
        </w:rPr>
        <w:t xml:space="preserve"> 80 мг та </w:t>
      </w:r>
      <w:proofErr w:type="spellStart"/>
      <w:r>
        <w:rPr>
          <w:rFonts w:ascii="Times New Roman" w:hAnsi="Times New Roman"/>
          <w:sz w:val="24"/>
          <w:szCs w:val="24"/>
        </w:rPr>
        <w:t>розувастатином</w:t>
      </w:r>
      <w:proofErr w:type="spellEnd"/>
      <w:r>
        <w:rPr>
          <w:rFonts w:ascii="Times New Roman" w:hAnsi="Times New Roman"/>
          <w:sz w:val="24"/>
          <w:szCs w:val="24"/>
        </w:rPr>
        <w:t xml:space="preserve"> 40 мг оцінювалися в клінічних дослідженнях. Прийом одноразової дози </w:t>
      </w:r>
      <w:proofErr w:type="spellStart"/>
      <w:r>
        <w:rPr>
          <w:rFonts w:ascii="Times New Roman" w:hAnsi="Times New Roman"/>
          <w:sz w:val="24"/>
          <w:szCs w:val="24"/>
        </w:rPr>
        <w:t>симвастатину</w:t>
      </w:r>
      <w:proofErr w:type="spellEnd"/>
      <w:r>
        <w:rPr>
          <w:rFonts w:ascii="Times New Roman" w:hAnsi="Times New Roman"/>
          <w:sz w:val="24"/>
          <w:szCs w:val="24"/>
        </w:rPr>
        <w:t xml:space="preserve"> 40 мг разом зі стаціонарною </w:t>
      </w:r>
      <w:proofErr w:type="spellStart"/>
      <w:r>
        <w:rPr>
          <w:rFonts w:ascii="Times New Roman" w:hAnsi="Times New Roman"/>
          <w:sz w:val="24"/>
          <w:szCs w:val="24"/>
        </w:rPr>
        <w:t>бемпедоєвою</w:t>
      </w:r>
      <w:proofErr w:type="spellEnd"/>
      <w:r>
        <w:rPr>
          <w:rFonts w:ascii="Times New Roman" w:hAnsi="Times New Roman"/>
          <w:sz w:val="24"/>
          <w:szCs w:val="24"/>
        </w:rPr>
        <w:t xml:space="preserve"> кислотою 180 мг призвело до двократного збільшення експозиції </w:t>
      </w:r>
      <w:proofErr w:type="spellStart"/>
      <w:r>
        <w:rPr>
          <w:rFonts w:ascii="Times New Roman" w:hAnsi="Times New Roman"/>
          <w:sz w:val="24"/>
          <w:szCs w:val="24"/>
        </w:rPr>
        <w:t>симвастатину</w:t>
      </w:r>
      <w:proofErr w:type="spellEnd"/>
      <w:r>
        <w:rPr>
          <w:rFonts w:ascii="Times New Roman" w:hAnsi="Times New Roman"/>
          <w:sz w:val="24"/>
          <w:szCs w:val="24"/>
        </w:rPr>
        <w:t xml:space="preserve">. При одночасному застосуванні з </w:t>
      </w:r>
      <w:proofErr w:type="spellStart"/>
      <w:r>
        <w:rPr>
          <w:rFonts w:ascii="Times New Roman" w:hAnsi="Times New Roman"/>
          <w:sz w:val="24"/>
          <w:szCs w:val="24"/>
        </w:rPr>
        <w:t>бемпедоєвою</w:t>
      </w:r>
      <w:proofErr w:type="spellEnd"/>
      <w:r>
        <w:rPr>
          <w:rFonts w:ascii="Times New Roman" w:hAnsi="Times New Roman"/>
          <w:sz w:val="24"/>
          <w:szCs w:val="24"/>
        </w:rPr>
        <w:t xml:space="preserve"> кислотою 180 мг спостерігалося збільшення AUC в 1,4</w:t>
      </w:r>
      <w:r>
        <w:rPr>
          <w:rFonts w:ascii="Times New Roman" w:hAnsi="Times New Roman"/>
          <w:sz w:val="24"/>
          <w:szCs w:val="24"/>
        </w:rPr>
        <w:noBreakHyphen/>
        <w:t xml:space="preserve">1,5 </w:t>
      </w:r>
      <w:proofErr w:type="spellStart"/>
      <w:r>
        <w:rPr>
          <w:rFonts w:ascii="Times New Roman" w:hAnsi="Times New Roman"/>
          <w:sz w:val="24"/>
          <w:szCs w:val="24"/>
        </w:rPr>
        <w:t>раза</w:t>
      </w:r>
      <w:proofErr w:type="spellEnd"/>
      <w:r>
        <w:rPr>
          <w:rFonts w:ascii="Times New Roman" w:hAnsi="Times New Roman"/>
          <w:sz w:val="24"/>
          <w:szCs w:val="24"/>
        </w:rPr>
        <w:t xml:space="preserve"> для </w:t>
      </w:r>
      <w:proofErr w:type="spellStart"/>
      <w:r>
        <w:rPr>
          <w:rFonts w:ascii="Times New Roman" w:hAnsi="Times New Roman"/>
          <w:sz w:val="24"/>
          <w:szCs w:val="24"/>
        </w:rPr>
        <w:t>аторвастатину</w:t>
      </w:r>
      <w:proofErr w:type="spellEnd"/>
      <w:r>
        <w:rPr>
          <w:rFonts w:ascii="Times New Roman" w:hAnsi="Times New Roman"/>
          <w:sz w:val="24"/>
          <w:szCs w:val="24"/>
        </w:rPr>
        <w:t xml:space="preserve">, </w:t>
      </w:r>
      <w:proofErr w:type="spellStart"/>
      <w:r>
        <w:rPr>
          <w:rFonts w:ascii="Times New Roman" w:hAnsi="Times New Roman"/>
          <w:sz w:val="24"/>
          <w:szCs w:val="24"/>
        </w:rPr>
        <w:t>правастатину</w:t>
      </w:r>
      <w:proofErr w:type="spellEnd"/>
      <w:r>
        <w:rPr>
          <w:rFonts w:ascii="Times New Roman" w:hAnsi="Times New Roman"/>
          <w:sz w:val="24"/>
          <w:szCs w:val="24"/>
        </w:rPr>
        <w:t xml:space="preserve"> та </w:t>
      </w:r>
      <w:proofErr w:type="spellStart"/>
      <w:r>
        <w:rPr>
          <w:rFonts w:ascii="Times New Roman" w:hAnsi="Times New Roman"/>
          <w:sz w:val="24"/>
          <w:szCs w:val="24"/>
        </w:rPr>
        <w:t>розувастатину</w:t>
      </w:r>
      <w:proofErr w:type="spellEnd"/>
      <w:r>
        <w:rPr>
          <w:rFonts w:ascii="Times New Roman" w:hAnsi="Times New Roman"/>
          <w:sz w:val="24"/>
          <w:szCs w:val="24"/>
        </w:rPr>
        <w:t xml:space="preserve"> (приймалися одноразово) та/або їх основних метаболітів. Більш значне підвищення спостерігалося при одночасному застосуванні цих </w:t>
      </w:r>
      <w:proofErr w:type="spellStart"/>
      <w:r>
        <w:rPr>
          <w:rFonts w:ascii="Times New Roman" w:hAnsi="Times New Roman"/>
          <w:sz w:val="24"/>
          <w:szCs w:val="24"/>
        </w:rPr>
        <w:t>статинів</w:t>
      </w:r>
      <w:proofErr w:type="spellEnd"/>
      <w:r>
        <w:rPr>
          <w:rFonts w:ascii="Times New Roman" w:hAnsi="Times New Roman"/>
          <w:sz w:val="24"/>
          <w:szCs w:val="24"/>
        </w:rPr>
        <w:t xml:space="preserve"> із </w:t>
      </w:r>
      <w:proofErr w:type="spellStart"/>
      <w:r>
        <w:rPr>
          <w:rFonts w:ascii="Times New Roman" w:hAnsi="Times New Roman"/>
          <w:sz w:val="24"/>
          <w:szCs w:val="24"/>
        </w:rPr>
        <w:t>супратерапевтичною</w:t>
      </w:r>
      <w:proofErr w:type="spellEnd"/>
      <w:r>
        <w:rPr>
          <w:rFonts w:ascii="Times New Roman" w:hAnsi="Times New Roman"/>
          <w:sz w:val="24"/>
          <w:szCs w:val="24"/>
        </w:rPr>
        <w:t xml:space="preserve"> дозою </w:t>
      </w:r>
      <w:proofErr w:type="spellStart"/>
      <w:r>
        <w:rPr>
          <w:rFonts w:ascii="Times New Roman" w:hAnsi="Times New Roman"/>
          <w:sz w:val="24"/>
          <w:szCs w:val="24"/>
        </w:rPr>
        <w:t>бемпедоєвої</w:t>
      </w:r>
      <w:proofErr w:type="spellEnd"/>
      <w:r>
        <w:rPr>
          <w:rFonts w:ascii="Times New Roman" w:hAnsi="Times New Roman"/>
          <w:sz w:val="24"/>
          <w:szCs w:val="24"/>
        </w:rPr>
        <w:t xml:space="preserve"> кислоти 240 мг (див. розділ «Особливості застосування»). При одночасному застосуванні </w:t>
      </w:r>
      <w:proofErr w:type="spellStart"/>
      <w:r>
        <w:rPr>
          <w:rFonts w:ascii="Times New Roman" w:hAnsi="Times New Roman"/>
          <w:sz w:val="24"/>
          <w:szCs w:val="24"/>
        </w:rPr>
        <w:t>езетимібу</w:t>
      </w:r>
      <w:proofErr w:type="spellEnd"/>
      <w:r>
        <w:rPr>
          <w:rFonts w:ascii="Times New Roman" w:hAnsi="Times New Roman"/>
          <w:sz w:val="24"/>
          <w:szCs w:val="24"/>
        </w:rPr>
        <w:t xml:space="preserve"> з </w:t>
      </w:r>
      <w:proofErr w:type="spellStart"/>
      <w:r>
        <w:rPr>
          <w:rFonts w:ascii="Times New Roman" w:hAnsi="Times New Roman"/>
          <w:sz w:val="24"/>
          <w:szCs w:val="24"/>
        </w:rPr>
        <w:t>аторвастатином</w:t>
      </w:r>
      <w:proofErr w:type="spellEnd"/>
      <w:r>
        <w:rPr>
          <w:rFonts w:ascii="Times New Roman" w:hAnsi="Times New Roman"/>
          <w:sz w:val="24"/>
          <w:szCs w:val="24"/>
        </w:rPr>
        <w:t xml:space="preserve">, </w:t>
      </w:r>
      <w:proofErr w:type="spellStart"/>
      <w:r>
        <w:rPr>
          <w:rFonts w:ascii="Times New Roman" w:hAnsi="Times New Roman"/>
          <w:sz w:val="24"/>
          <w:szCs w:val="24"/>
        </w:rPr>
        <w:t>симвастатином</w:t>
      </w:r>
      <w:proofErr w:type="spellEnd"/>
      <w:r>
        <w:rPr>
          <w:rFonts w:ascii="Times New Roman" w:hAnsi="Times New Roman"/>
          <w:sz w:val="24"/>
          <w:szCs w:val="24"/>
        </w:rPr>
        <w:t xml:space="preserve">, </w:t>
      </w:r>
      <w:proofErr w:type="spellStart"/>
      <w:r>
        <w:rPr>
          <w:rFonts w:ascii="Times New Roman" w:hAnsi="Times New Roman"/>
          <w:sz w:val="24"/>
          <w:szCs w:val="24"/>
        </w:rPr>
        <w:t>правастатином</w:t>
      </w:r>
      <w:proofErr w:type="spellEnd"/>
      <w:r>
        <w:rPr>
          <w:rFonts w:ascii="Times New Roman" w:hAnsi="Times New Roman"/>
          <w:sz w:val="24"/>
          <w:szCs w:val="24"/>
        </w:rPr>
        <w:t xml:space="preserve">, </w:t>
      </w:r>
      <w:proofErr w:type="spellStart"/>
      <w:r>
        <w:rPr>
          <w:rFonts w:ascii="Times New Roman" w:hAnsi="Times New Roman"/>
          <w:sz w:val="24"/>
          <w:szCs w:val="24"/>
        </w:rPr>
        <w:t>ловастатином</w:t>
      </w:r>
      <w:proofErr w:type="spellEnd"/>
      <w:r>
        <w:rPr>
          <w:rFonts w:ascii="Times New Roman" w:hAnsi="Times New Roman"/>
          <w:sz w:val="24"/>
          <w:szCs w:val="24"/>
        </w:rPr>
        <w:t xml:space="preserve">, </w:t>
      </w:r>
      <w:proofErr w:type="spellStart"/>
      <w:r>
        <w:rPr>
          <w:rFonts w:ascii="Times New Roman" w:hAnsi="Times New Roman"/>
          <w:sz w:val="24"/>
          <w:szCs w:val="24"/>
        </w:rPr>
        <w:t>флувастатином</w:t>
      </w:r>
      <w:proofErr w:type="spellEnd"/>
      <w:r>
        <w:rPr>
          <w:rFonts w:ascii="Times New Roman" w:hAnsi="Times New Roman"/>
          <w:sz w:val="24"/>
          <w:szCs w:val="24"/>
        </w:rPr>
        <w:t xml:space="preserve"> або </w:t>
      </w:r>
      <w:proofErr w:type="spellStart"/>
      <w:r>
        <w:rPr>
          <w:rFonts w:ascii="Times New Roman" w:hAnsi="Times New Roman"/>
          <w:sz w:val="24"/>
          <w:szCs w:val="24"/>
        </w:rPr>
        <w:t>розувастатином</w:t>
      </w:r>
      <w:proofErr w:type="spellEnd"/>
      <w:r>
        <w:rPr>
          <w:rFonts w:ascii="Times New Roman" w:hAnsi="Times New Roman"/>
          <w:sz w:val="24"/>
          <w:szCs w:val="24"/>
        </w:rPr>
        <w:t xml:space="preserve"> клінічно значущих </w:t>
      </w:r>
      <w:proofErr w:type="spellStart"/>
      <w:r>
        <w:rPr>
          <w:rFonts w:ascii="Times New Roman" w:hAnsi="Times New Roman"/>
          <w:sz w:val="24"/>
          <w:szCs w:val="24"/>
        </w:rPr>
        <w:t>фармакокінетичних</w:t>
      </w:r>
      <w:proofErr w:type="spellEnd"/>
      <w:r>
        <w:rPr>
          <w:rFonts w:ascii="Times New Roman" w:hAnsi="Times New Roman"/>
          <w:sz w:val="24"/>
          <w:szCs w:val="24"/>
        </w:rPr>
        <w:t xml:space="preserve"> взаємодій не спостерігалося.</w:t>
      </w:r>
    </w:p>
    <w:p w:rsidR="00A83EAF" w:rsidRDefault="00A83EAF" w:rsidP="00A83EAF">
      <w:pPr>
        <w:spacing w:after="0" w:line="240" w:lineRule="auto"/>
        <w:jc w:val="both"/>
        <w:rPr>
          <w:rFonts w:ascii="Times New Roman" w:hAnsi="Times New Roman"/>
          <w:sz w:val="24"/>
          <w:szCs w:val="24"/>
        </w:rPr>
      </w:pPr>
      <w:r>
        <w:rPr>
          <w:rFonts w:ascii="Times New Roman" w:hAnsi="Times New Roman"/>
          <w:i/>
          <w:iCs/>
          <w:sz w:val="24"/>
          <w:szCs w:val="24"/>
        </w:rPr>
        <w:t>Взаємодія лікарських засобів, опосередкована транспортерами</w:t>
      </w:r>
    </w:p>
    <w:p w:rsidR="00A83EAF" w:rsidRDefault="00A83EAF" w:rsidP="00A83EAF">
      <w:pPr>
        <w:spacing w:after="0" w:line="240" w:lineRule="auto"/>
        <w:jc w:val="both"/>
        <w:rPr>
          <w:rFonts w:ascii="Times New Roman" w:hAnsi="Times New Roman"/>
          <w:sz w:val="24"/>
          <w:szCs w:val="24"/>
        </w:rPr>
      </w:pPr>
      <w:proofErr w:type="spellStart"/>
      <w:r>
        <w:rPr>
          <w:rFonts w:ascii="Times New Roman" w:hAnsi="Times New Roman"/>
          <w:sz w:val="24"/>
          <w:szCs w:val="24"/>
        </w:rPr>
        <w:t>Бемпедоєва</w:t>
      </w:r>
      <w:proofErr w:type="spellEnd"/>
      <w:r>
        <w:rPr>
          <w:rFonts w:ascii="Times New Roman" w:hAnsi="Times New Roman"/>
          <w:sz w:val="24"/>
          <w:szCs w:val="24"/>
        </w:rPr>
        <w:t xml:space="preserve"> кислота та її </w:t>
      </w:r>
      <w:proofErr w:type="spellStart"/>
      <w:r>
        <w:rPr>
          <w:rFonts w:ascii="Times New Roman" w:hAnsi="Times New Roman"/>
          <w:sz w:val="24"/>
          <w:szCs w:val="24"/>
        </w:rPr>
        <w:t>глюкуронід</w:t>
      </w:r>
      <w:proofErr w:type="spellEnd"/>
      <w:r>
        <w:rPr>
          <w:rFonts w:ascii="Times New Roman" w:hAnsi="Times New Roman"/>
          <w:sz w:val="24"/>
          <w:szCs w:val="24"/>
        </w:rPr>
        <w:t xml:space="preserve"> слабо інгібують OATP1B1 та OATP1B3 у клінічно значущих концентраціях. Одночасне застосування лікарського засобу з засобами, що є субстратами OATP1B1 або OATP1B3 (тобто </w:t>
      </w:r>
      <w:proofErr w:type="spellStart"/>
      <w:r>
        <w:rPr>
          <w:rFonts w:ascii="Times New Roman" w:hAnsi="Times New Roman"/>
          <w:sz w:val="24"/>
          <w:szCs w:val="24"/>
        </w:rPr>
        <w:t>бозентан</w:t>
      </w:r>
      <w:proofErr w:type="spellEnd"/>
      <w:r>
        <w:rPr>
          <w:rFonts w:ascii="Times New Roman" w:hAnsi="Times New Roman"/>
          <w:sz w:val="24"/>
          <w:szCs w:val="24"/>
        </w:rPr>
        <w:t xml:space="preserve">, </w:t>
      </w:r>
      <w:proofErr w:type="spellStart"/>
      <w:r>
        <w:rPr>
          <w:rFonts w:ascii="Times New Roman" w:hAnsi="Times New Roman"/>
          <w:sz w:val="24"/>
          <w:szCs w:val="24"/>
        </w:rPr>
        <w:t>фімасартан</w:t>
      </w:r>
      <w:proofErr w:type="spellEnd"/>
      <w:r>
        <w:rPr>
          <w:rFonts w:ascii="Times New Roman" w:hAnsi="Times New Roman"/>
          <w:sz w:val="24"/>
          <w:szCs w:val="24"/>
        </w:rPr>
        <w:t xml:space="preserve">, </w:t>
      </w:r>
      <w:proofErr w:type="spellStart"/>
      <w:r>
        <w:rPr>
          <w:rFonts w:ascii="Times New Roman" w:hAnsi="Times New Roman"/>
          <w:sz w:val="24"/>
          <w:szCs w:val="24"/>
        </w:rPr>
        <w:t>асунапревір</w:t>
      </w:r>
      <w:proofErr w:type="spellEnd"/>
      <w:r>
        <w:rPr>
          <w:rFonts w:ascii="Times New Roman" w:hAnsi="Times New Roman"/>
          <w:sz w:val="24"/>
          <w:szCs w:val="24"/>
        </w:rPr>
        <w:t xml:space="preserve">, </w:t>
      </w:r>
      <w:proofErr w:type="spellStart"/>
      <w:r>
        <w:rPr>
          <w:rFonts w:ascii="Times New Roman" w:hAnsi="Times New Roman"/>
          <w:sz w:val="24"/>
          <w:szCs w:val="24"/>
        </w:rPr>
        <w:t>глекапревір</w:t>
      </w:r>
      <w:proofErr w:type="spellEnd"/>
      <w:r>
        <w:rPr>
          <w:rFonts w:ascii="Times New Roman" w:hAnsi="Times New Roman"/>
          <w:sz w:val="24"/>
          <w:szCs w:val="24"/>
        </w:rPr>
        <w:t xml:space="preserve">, </w:t>
      </w:r>
      <w:proofErr w:type="spellStart"/>
      <w:r>
        <w:rPr>
          <w:rFonts w:ascii="Times New Roman" w:hAnsi="Times New Roman"/>
          <w:sz w:val="24"/>
          <w:szCs w:val="24"/>
        </w:rPr>
        <w:t>гразопревір</w:t>
      </w:r>
      <w:proofErr w:type="spellEnd"/>
      <w:r>
        <w:rPr>
          <w:rFonts w:ascii="Times New Roman" w:hAnsi="Times New Roman"/>
          <w:sz w:val="24"/>
          <w:szCs w:val="24"/>
        </w:rPr>
        <w:t xml:space="preserve">, </w:t>
      </w:r>
      <w:proofErr w:type="spellStart"/>
      <w:r>
        <w:rPr>
          <w:rFonts w:ascii="Times New Roman" w:hAnsi="Times New Roman"/>
          <w:sz w:val="24"/>
          <w:szCs w:val="24"/>
        </w:rPr>
        <w:t>воксилапревір</w:t>
      </w:r>
      <w:proofErr w:type="spellEnd"/>
      <w:r>
        <w:rPr>
          <w:rFonts w:ascii="Times New Roman" w:hAnsi="Times New Roman"/>
          <w:sz w:val="24"/>
          <w:szCs w:val="24"/>
        </w:rPr>
        <w:t xml:space="preserve"> та </w:t>
      </w:r>
      <w:proofErr w:type="spellStart"/>
      <w:r>
        <w:rPr>
          <w:rFonts w:ascii="Times New Roman" w:hAnsi="Times New Roman"/>
          <w:sz w:val="24"/>
          <w:szCs w:val="24"/>
        </w:rPr>
        <w:t>статини</w:t>
      </w:r>
      <w:proofErr w:type="spellEnd"/>
      <w:r>
        <w:rPr>
          <w:rFonts w:ascii="Times New Roman" w:hAnsi="Times New Roman"/>
          <w:sz w:val="24"/>
          <w:szCs w:val="24"/>
        </w:rPr>
        <w:t xml:space="preserve">, такі як </w:t>
      </w:r>
      <w:proofErr w:type="spellStart"/>
      <w:r>
        <w:rPr>
          <w:rFonts w:ascii="Times New Roman" w:hAnsi="Times New Roman"/>
          <w:sz w:val="24"/>
          <w:szCs w:val="24"/>
        </w:rPr>
        <w:t>аторвастатин</w:t>
      </w:r>
      <w:proofErr w:type="spellEnd"/>
      <w:r>
        <w:rPr>
          <w:rFonts w:ascii="Times New Roman" w:hAnsi="Times New Roman"/>
          <w:sz w:val="24"/>
          <w:szCs w:val="24"/>
        </w:rPr>
        <w:t xml:space="preserve">, </w:t>
      </w:r>
      <w:proofErr w:type="spellStart"/>
      <w:r>
        <w:rPr>
          <w:rFonts w:ascii="Times New Roman" w:hAnsi="Times New Roman"/>
          <w:sz w:val="24"/>
          <w:szCs w:val="24"/>
        </w:rPr>
        <w:t>правастатин</w:t>
      </w:r>
      <w:proofErr w:type="spellEnd"/>
      <w:r>
        <w:rPr>
          <w:rFonts w:ascii="Times New Roman" w:hAnsi="Times New Roman"/>
          <w:sz w:val="24"/>
          <w:szCs w:val="24"/>
        </w:rPr>
        <w:t xml:space="preserve">, </w:t>
      </w:r>
      <w:proofErr w:type="spellStart"/>
      <w:r>
        <w:rPr>
          <w:rFonts w:ascii="Times New Roman" w:hAnsi="Times New Roman"/>
          <w:sz w:val="24"/>
          <w:szCs w:val="24"/>
        </w:rPr>
        <w:t>флувастатин</w:t>
      </w:r>
      <w:proofErr w:type="spellEnd"/>
      <w:r>
        <w:rPr>
          <w:rFonts w:ascii="Times New Roman" w:hAnsi="Times New Roman"/>
          <w:sz w:val="24"/>
          <w:szCs w:val="24"/>
        </w:rPr>
        <w:t xml:space="preserve">, </w:t>
      </w:r>
      <w:proofErr w:type="spellStart"/>
      <w:r>
        <w:rPr>
          <w:rFonts w:ascii="Times New Roman" w:hAnsi="Times New Roman"/>
          <w:sz w:val="24"/>
          <w:szCs w:val="24"/>
        </w:rPr>
        <w:t>пітавастатин</w:t>
      </w:r>
      <w:proofErr w:type="spellEnd"/>
      <w:r>
        <w:rPr>
          <w:rFonts w:ascii="Times New Roman" w:hAnsi="Times New Roman"/>
          <w:sz w:val="24"/>
          <w:szCs w:val="24"/>
        </w:rPr>
        <w:t xml:space="preserve">, </w:t>
      </w:r>
      <w:proofErr w:type="spellStart"/>
      <w:r>
        <w:rPr>
          <w:rFonts w:ascii="Times New Roman" w:hAnsi="Times New Roman"/>
          <w:sz w:val="24"/>
          <w:szCs w:val="24"/>
        </w:rPr>
        <w:t>розувастатин</w:t>
      </w:r>
      <w:proofErr w:type="spellEnd"/>
      <w:r>
        <w:rPr>
          <w:rFonts w:ascii="Times New Roman" w:hAnsi="Times New Roman"/>
          <w:sz w:val="24"/>
          <w:szCs w:val="24"/>
        </w:rPr>
        <w:t xml:space="preserve"> та </w:t>
      </w:r>
      <w:proofErr w:type="spellStart"/>
      <w:r>
        <w:rPr>
          <w:rFonts w:ascii="Times New Roman" w:hAnsi="Times New Roman"/>
          <w:sz w:val="24"/>
          <w:szCs w:val="24"/>
        </w:rPr>
        <w:t>симвастатин</w:t>
      </w:r>
      <w:proofErr w:type="spellEnd"/>
      <w:r>
        <w:rPr>
          <w:rFonts w:ascii="Times New Roman" w:hAnsi="Times New Roman"/>
          <w:sz w:val="24"/>
          <w:szCs w:val="24"/>
        </w:rPr>
        <w:t xml:space="preserve"> [див. розділ «Особливості застосування»]), може призвести до підвищення концентрації цих лікарських засобів у плазмі крові. </w:t>
      </w:r>
      <w:proofErr w:type="spellStart"/>
      <w:r>
        <w:rPr>
          <w:rFonts w:ascii="Times New Roman" w:hAnsi="Times New Roman"/>
          <w:sz w:val="24"/>
          <w:szCs w:val="24"/>
        </w:rPr>
        <w:t>Бемпедоєва</w:t>
      </w:r>
      <w:proofErr w:type="spellEnd"/>
      <w:r>
        <w:rPr>
          <w:rFonts w:ascii="Times New Roman" w:hAnsi="Times New Roman"/>
          <w:sz w:val="24"/>
          <w:szCs w:val="24"/>
        </w:rPr>
        <w:t xml:space="preserve"> кислота пригнічує OAT2 </w:t>
      </w:r>
      <w:proofErr w:type="spellStart"/>
      <w:r>
        <w:rPr>
          <w:rFonts w:ascii="Times New Roman" w:hAnsi="Times New Roman"/>
          <w:i/>
          <w:iCs/>
          <w:sz w:val="24"/>
          <w:szCs w:val="24"/>
        </w:rPr>
        <w:t>in</w:t>
      </w:r>
      <w:proofErr w:type="spellEnd"/>
      <w:r>
        <w:rPr>
          <w:rFonts w:ascii="Times New Roman" w:hAnsi="Times New Roman"/>
          <w:i/>
          <w:iCs/>
          <w:sz w:val="24"/>
          <w:szCs w:val="24"/>
        </w:rPr>
        <w:t xml:space="preserve"> </w:t>
      </w:r>
      <w:proofErr w:type="spellStart"/>
      <w:r>
        <w:rPr>
          <w:rFonts w:ascii="Times New Roman" w:hAnsi="Times New Roman"/>
          <w:i/>
          <w:iCs/>
          <w:sz w:val="24"/>
          <w:szCs w:val="24"/>
        </w:rPr>
        <w:t>vitro</w:t>
      </w:r>
      <w:proofErr w:type="spellEnd"/>
      <w:r>
        <w:rPr>
          <w:rFonts w:ascii="Times New Roman" w:hAnsi="Times New Roman"/>
          <w:sz w:val="24"/>
          <w:szCs w:val="24"/>
        </w:rPr>
        <w:t xml:space="preserve">, що може бути механізмом, відповідальним за незначне підвищення рівня </w:t>
      </w:r>
      <w:proofErr w:type="spellStart"/>
      <w:r>
        <w:rPr>
          <w:rFonts w:ascii="Times New Roman" w:hAnsi="Times New Roman"/>
          <w:sz w:val="24"/>
          <w:szCs w:val="24"/>
        </w:rPr>
        <w:t>креатиніну</w:t>
      </w:r>
      <w:proofErr w:type="spellEnd"/>
      <w:r>
        <w:rPr>
          <w:rFonts w:ascii="Times New Roman" w:hAnsi="Times New Roman"/>
          <w:sz w:val="24"/>
          <w:szCs w:val="24"/>
        </w:rPr>
        <w:t xml:space="preserve"> та сечової кислоти в сироватці крові (див. розділ «Побічні реакції»). </w:t>
      </w:r>
      <w:proofErr w:type="spellStart"/>
      <w:r>
        <w:rPr>
          <w:rFonts w:ascii="Times New Roman" w:hAnsi="Times New Roman"/>
          <w:sz w:val="24"/>
          <w:szCs w:val="24"/>
        </w:rPr>
        <w:t>Інгібування</w:t>
      </w:r>
      <w:proofErr w:type="spellEnd"/>
      <w:r>
        <w:rPr>
          <w:rFonts w:ascii="Times New Roman" w:hAnsi="Times New Roman"/>
          <w:sz w:val="24"/>
          <w:szCs w:val="24"/>
        </w:rPr>
        <w:t xml:space="preserve"> OAT2 </w:t>
      </w:r>
      <w:proofErr w:type="spellStart"/>
      <w:r>
        <w:rPr>
          <w:rFonts w:ascii="Times New Roman" w:hAnsi="Times New Roman"/>
          <w:sz w:val="24"/>
          <w:szCs w:val="24"/>
        </w:rPr>
        <w:t>бемпедоєвою</w:t>
      </w:r>
      <w:proofErr w:type="spellEnd"/>
      <w:r>
        <w:rPr>
          <w:rFonts w:ascii="Times New Roman" w:hAnsi="Times New Roman"/>
          <w:sz w:val="24"/>
          <w:szCs w:val="24"/>
        </w:rPr>
        <w:t xml:space="preserve"> кислотою також може потенційно підвищувати концентрації у плазмі лікарських засобів, які є субстратами OAT2. </w:t>
      </w:r>
      <w:proofErr w:type="spellStart"/>
      <w:r>
        <w:rPr>
          <w:rFonts w:ascii="Times New Roman" w:hAnsi="Times New Roman"/>
          <w:sz w:val="24"/>
          <w:szCs w:val="24"/>
        </w:rPr>
        <w:t>Бемпедоєва</w:t>
      </w:r>
      <w:proofErr w:type="spellEnd"/>
      <w:r>
        <w:rPr>
          <w:rFonts w:ascii="Times New Roman" w:hAnsi="Times New Roman"/>
          <w:sz w:val="24"/>
          <w:szCs w:val="24"/>
        </w:rPr>
        <w:t xml:space="preserve"> кислота також може слабко пригнічувати OAT3 у клінічно значущих концентраціях.</w:t>
      </w:r>
    </w:p>
    <w:p w:rsidR="00A83EAF" w:rsidRDefault="00A83EAF" w:rsidP="00A83EAF">
      <w:pPr>
        <w:spacing w:after="0" w:line="240" w:lineRule="auto"/>
        <w:jc w:val="both"/>
        <w:rPr>
          <w:rFonts w:ascii="Times New Roman" w:hAnsi="Times New Roman"/>
          <w:sz w:val="24"/>
          <w:szCs w:val="24"/>
        </w:rPr>
      </w:pPr>
      <w:r>
        <w:rPr>
          <w:rFonts w:ascii="Times New Roman" w:hAnsi="Times New Roman"/>
          <w:i/>
          <w:iCs/>
          <w:sz w:val="24"/>
          <w:szCs w:val="24"/>
        </w:rPr>
        <w:lastRenderedPageBreak/>
        <w:t>Антикоагулянти</w:t>
      </w:r>
    </w:p>
    <w:p w:rsidR="00A83EAF" w:rsidRDefault="00A83EAF" w:rsidP="00A83EAF">
      <w:pPr>
        <w:spacing w:after="0" w:line="240" w:lineRule="auto"/>
        <w:jc w:val="both"/>
        <w:rPr>
          <w:rFonts w:ascii="Times New Roman" w:hAnsi="Times New Roman"/>
          <w:sz w:val="24"/>
          <w:szCs w:val="24"/>
        </w:rPr>
      </w:pPr>
      <w:r>
        <w:rPr>
          <w:rFonts w:ascii="Times New Roman" w:hAnsi="Times New Roman"/>
          <w:sz w:val="24"/>
          <w:szCs w:val="24"/>
        </w:rPr>
        <w:t xml:space="preserve">Супутнє застосування </w:t>
      </w:r>
      <w:proofErr w:type="spellStart"/>
      <w:r>
        <w:rPr>
          <w:rFonts w:ascii="Times New Roman" w:hAnsi="Times New Roman"/>
          <w:sz w:val="24"/>
          <w:szCs w:val="24"/>
        </w:rPr>
        <w:t>езетимібу</w:t>
      </w:r>
      <w:proofErr w:type="spellEnd"/>
      <w:r>
        <w:rPr>
          <w:rFonts w:ascii="Times New Roman" w:hAnsi="Times New Roman"/>
          <w:sz w:val="24"/>
          <w:szCs w:val="24"/>
        </w:rPr>
        <w:t xml:space="preserve"> (10 мг 1 раз на добу) не мало суттєвого впливу на </w:t>
      </w:r>
      <w:proofErr w:type="spellStart"/>
      <w:r>
        <w:rPr>
          <w:rFonts w:ascii="Times New Roman" w:hAnsi="Times New Roman"/>
          <w:sz w:val="24"/>
          <w:szCs w:val="24"/>
        </w:rPr>
        <w:t>біодоступність</w:t>
      </w:r>
      <w:proofErr w:type="spellEnd"/>
      <w:r>
        <w:rPr>
          <w:rFonts w:ascii="Times New Roman" w:hAnsi="Times New Roman"/>
          <w:sz w:val="24"/>
          <w:szCs w:val="24"/>
        </w:rPr>
        <w:t xml:space="preserve"> </w:t>
      </w:r>
      <w:proofErr w:type="spellStart"/>
      <w:r>
        <w:rPr>
          <w:rFonts w:ascii="Times New Roman" w:hAnsi="Times New Roman"/>
          <w:sz w:val="24"/>
          <w:szCs w:val="24"/>
        </w:rPr>
        <w:t>варфарину</w:t>
      </w:r>
      <w:proofErr w:type="spellEnd"/>
      <w:r>
        <w:rPr>
          <w:rFonts w:ascii="Times New Roman" w:hAnsi="Times New Roman"/>
          <w:sz w:val="24"/>
          <w:szCs w:val="24"/>
        </w:rPr>
        <w:t xml:space="preserve"> та </w:t>
      </w:r>
      <w:proofErr w:type="spellStart"/>
      <w:r>
        <w:rPr>
          <w:rFonts w:ascii="Times New Roman" w:hAnsi="Times New Roman"/>
          <w:sz w:val="24"/>
          <w:szCs w:val="24"/>
        </w:rPr>
        <w:t>протромбіновий</w:t>
      </w:r>
      <w:proofErr w:type="spellEnd"/>
      <w:r>
        <w:rPr>
          <w:rFonts w:ascii="Times New Roman" w:hAnsi="Times New Roman"/>
          <w:sz w:val="24"/>
          <w:szCs w:val="24"/>
        </w:rPr>
        <w:t xml:space="preserve"> час у дослідженні дванадцяти здорових дорослих чоловіків. Однак, у </w:t>
      </w:r>
      <w:proofErr w:type="spellStart"/>
      <w:r>
        <w:rPr>
          <w:rFonts w:ascii="Times New Roman" w:hAnsi="Times New Roman"/>
          <w:sz w:val="24"/>
          <w:szCs w:val="24"/>
        </w:rPr>
        <w:t>постмаркетинговий</w:t>
      </w:r>
      <w:proofErr w:type="spellEnd"/>
      <w:r>
        <w:rPr>
          <w:rFonts w:ascii="Times New Roman" w:hAnsi="Times New Roman"/>
          <w:sz w:val="24"/>
          <w:szCs w:val="24"/>
        </w:rPr>
        <w:t xml:space="preserve"> період надходили повідомлення про підвищення МНО у пацієнтів, яким </w:t>
      </w:r>
      <w:proofErr w:type="spellStart"/>
      <w:r>
        <w:rPr>
          <w:rFonts w:ascii="Times New Roman" w:hAnsi="Times New Roman"/>
          <w:sz w:val="24"/>
          <w:szCs w:val="24"/>
        </w:rPr>
        <w:t>езетиміб</w:t>
      </w:r>
      <w:proofErr w:type="spellEnd"/>
      <w:r>
        <w:rPr>
          <w:rFonts w:ascii="Times New Roman" w:hAnsi="Times New Roman"/>
          <w:sz w:val="24"/>
          <w:szCs w:val="24"/>
        </w:rPr>
        <w:t xml:space="preserve"> додавали до </w:t>
      </w:r>
      <w:proofErr w:type="spellStart"/>
      <w:r>
        <w:rPr>
          <w:rFonts w:ascii="Times New Roman" w:hAnsi="Times New Roman"/>
          <w:sz w:val="24"/>
          <w:szCs w:val="24"/>
        </w:rPr>
        <w:t>варфарину</w:t>
      </w:r>
      <w:proofErr w:type="spellEnd"/>
      <w:r>
        <w:rPr>
          <w:rFonts w:ascii="Times New Roman" w:hAnsi="Times New Roman"/>
          <w:sz w:val="24"/>
          <w:szCs w:val="24"/>
        </w:rPr>
        <w:t xml:space="preserve"> або </w:t>
      </w:r>
      <w:proofErr w:type="spellStart"/>
      <w:r>
        <w:rPr>
          <w:rFonts w:ascii="Times New Roman" w:hAnsi="Times New Roman"/>
          <w:sz w:val="24"/>
          <w:szCs w:val="24"/>
        </w:rPr>
        <w:t>флуїндіону</w:t>
      </w:r>
      <w:proofErr w:type="spellEnd"/>
      <w:r>
        <w:rPr>
          <w:rFonts w:ascii="Times New Roman" w:hAnsi="Times New Roman"/>
          <w:sz w:val="24"/>
          <w:szCs w:val="24"/>
        </w:rPr>
        <w:t xml:space="preserve">. Якщо лікарський засіб додавати до </w:t>
      </w:r>
      <w:proofErr w:type="spellStart"/>
      <w:r>
        <w:rPr>
          <w:rFonts w:ascii="Times New Roman" w:hAnsi="Times New Roman"/>
          <w:sz w:val="24"/>
          <w:szCs w:val="24"/>
        </w:rPr>
        <w:t>варфарину</w:t>
      </w:r>
      <w:proofErr w:type="spellEnd"/>
      <w:r>
        <w:rPr>
          <w:rFonts w:ascii="Times New Roman" w:hAnsi="Times New Roman"/>
          <w:sz w:val="24"/>
          <w:szCs w:val="24"/>
        </w:rPr>
        <w:t xml:space="preserve">, інших </w:t>
      </w:r>
      <w:proofErr w:type="spellStart"/>
      <w:r>
        <w:rPr>
          <w:rFonts w:ascii="Times New Roman" w:hAnsi="Times New Roman"/>
          <w:sz w:val="24"/>
          <w:szCs w:val="24"/>
        </w:rPr>
        <w:t>кумаринових</w:t>
      </w:r>
      <w:proofErr w:type="spellEnd"/>
      <w:r>
        <w:rPr>
          <w:rFonts w:ascii="Times New Roman" w:hAnsi="Times New Roman"/>
          <w:sz w:val="24"/>
          <w:szCs w:val="24"/>
        </w:rPr>
        <w:t xml:space="preserve"> антикоагулянтів або </w:t>
      </w:r>
      <w:proofErr w:type="spellStart"/>
      <w:r>
        <w:rPr>
          <w:rFonts w:ascii="Times New Roman" w:hAnsi="Times New Roman"/>
          <w:sz w:val="24"/>
          <w:szCs w:val="24"/>
        </w:rPr>
        <w:t>флуїндіону</w:t>
      </w:r>
      <w:proofErr w:type="spellEnd"/>
      <w:r>
        <w:rPr>
          <w:rFonts w:ascii="Times New Roman" w:hAnsi="Times New Roman"/>
          <w:sz w:val="24"/>
          <w:szCs w:val="24"/>
        </w:rPr>
        <w:t>, слід належним чином контролювати МНВ (див. розділ «Особливості застосування»).</w:t>
      </w:r>
    </w:p>
    <w:p w:rsidR="00A83EAF" w:rsidRDefault="00A83EAF" w:rsidP="00A83EAF">
      <w:pPr>
        <w:spacing w:after="0" w:line="240" w:lineRule="auto"/>
        <w:jc w:val="both"/>
        <w:rPr>
          <w:rFonts w:ascii="Times New Roman" w:hAnsi="Times New Roman"/>
          <w:sz w:val="24"/>
          <w:szCs w:val="24"/>
        </w:rPr>
      </w:pPr>
      <w:r>
        <w:rPr>
          <w:rFonts w:ascii="Times New Roman" w:hAnsi="Times New Roman"/>
          <w:i/>
          <w:iCs/>
          <w:sz w:val="24"/>
          <w:szCs w:val="24"/>
        </w:rPr>
        <w:t>Інші досліджені взаємодії</w:t>
      </w:r>
    </w:p>
    <w:p w:rsidR="00A83EAF" w:rsidRDefault="00A83EAF" w:rsidP="00A83EAF">
      <w:pPr>
        <w:spacing w:after="0" w:line="240" w:lineRule="auto"/>
        <w:jc w:val="both"/>
        <w:rPr>
          <w:rFonts w:ascii="Times New Roman" w:hAnsi="Times New Roman"/>
          <w:sz w:val="24"/>
          <w:szCs w:val="24"/>
        </w:rPr>
      </w:pPr>
      <w:proofErr w:type="spellStart"/>
      <w:r>
        <w:rPr>
          <w:rFonts w:ascii="Times New Roman" w:hAnsi="Times New Roman"/>
          <w:sz w:val="24"/>
          <w:szCs w:val="24"/>
        </w:rPr>
        <w:t>Бемпедоєва</w:t>
      </w:r>
      <w:proofErr w:type="spellEnd"/>
      <w:r>
        <w:rPr>
          <w:rFonts w:ascii="Times New Roman" w:hAnsi="Times New Roman"/>
          <w:sz w:val="24"/>
          <w:szCs w:val="24"/>
        </w:rPr>
        <w:t xml:space="preserve"> кислота не впливала на фармакокінетику пероральних контрацептивів </w:t>
      </w:r>
      <w:proofErr w:type="spellStart"/>
      <w:r>
        <w:rPr>
          <w:rFonts w:ascii="Times New Roman" w:hAnsi="Times New Roman"/>
          <w:sz w:val="24"/>
          <w:szCs w:val="24"/>
        </w:rPr>
        <w:t>норетиндрону</w:t>
      </w:r>
      <w:proofErr w:type="spellEnd"/>
      <w:r>
        <w:rPr>
          <w:rFonts w:ascii="Times New Roman" w:hAnsi="Times New Roman"/>
          <w:sz w:val="24"/>
          <w:szCs w:val="24"/>
        </w:rPr>
        <w:t xml:space="preserve"> / </w:t>
      </w:r>
      <w:proofErr w:type="spellStart"/>
      <w:r>
        <w:rPr>
          <w:rFonts w:ascii="Times New Roman" w:hAnsi="Times New Roman"/>
          <w:sz w:val="24"/>
          <w:szCs w:val="24"/>
        </w:rPr>
        <w:t>етинілестрадіолу</w:t>
      </w:r>
      <w:proofErr w:type="spellEnd"/>
      <w:r>
        <w:rPr>
          <w:rFonts w:ascii="Times New Roman" w:hAnsi="Times New Roman"/>
          <w:sz w:val="24"/>
          <w:szCs w:val="24"/>
        </w:rPr>
        <w:t xml:space="preserve">. У клінічних дослідженнях взаємодії </w:t>
      </w:r>
      <w:proofErr w:type="spellStart"/>
      <w:r>
        <w:rPr>
          <w:rFonts w:ascii="Times New Roman" w:hAnsi="Times New Roman"/>
          <w:sz w:val="24"/>
          <w:szCs w:val="24"/>
        </w:rPr>
        <w:t>езетиміб</w:t>
      </w:r>
      <w:proofErr w:type="spellEnd"/>
      <w:r>
        <w:rPr>
          <w:rFonts w:ascii="Times New Roman" w:hAnsi="Times New Roman"/>
          <w:sz w:val="24"/>
          <w:szCs w:val="24"/>
        </w:rPr>
        <w:t xml:space="preserve"> не впливав на фармакокінетику пероральних контрацептивів </w:t>
      </w:r>
      <w:proofErr w:type="spellStart"/>
      <w:r>
        <w:rPr>
          <w:rFonts w:ascii="Times New Roman" w:hAnsi="Times New Roman"/>
          <w:sz w:val="24"/>
          <w:szCs w:val="24"/>
        </w:rPr>
        <w:t>етинілестрадіолу</w:t>
      </w:r>
      <w:proofErr w:type="spellEnd"/>
      <w:r>
        <w:rPr>
          <w:rFonts w:ascii="Times New Roman" w:hAnsi="Times New Roman"/>
          <w:sz w:val="24"/>
          <w:szCs w:val="24"/>
        </w:rPr>
        <w:t xml:space="preserve"> та </w:t>
      </w:r>
      <w:proofErr w:type="spellStart"/>
      <w:r>
        <w:rPr>
          <w:rFonts w:ascii="Times New Roman" w:hAnsi="Times New Roman"/>
          <w:sz w:val="24"/>
          <w:szCs w:val="24"/>
        </w:rPr>
        <w:t>левоноргестрелу</w:t>
      </w:r>
      <w:proofErr w:type="spellEnd"/>
      <w:r>
        <w:rPr>
          <w:rFonts w:ascii="Times New Roman" w:hAnsi="Times New Roman"/>
          <w:sz w:val="24"/>
          <w:szCs w:val="24"/>
        </w:rPr>
        <w:t xml:space="preserve">. </w:t>
      </w:r>
      <w:proofErr w:type="spellStart"/>
      <w:r>
        <w:rPr>
          <w:rFonts w:ascii="Times New Roman" w:hAnsi="Times New Roman"/>
          <w:sz w:val="24"/>
          <w:szCs w:val="24"/>
        </w:rPr>
        <w:t>Бемпедоєва</w:t>
      </w:r>
      <w:proofErr w:type="spellEnd"/>
      <w:r>
        <w:rPr>
          <w:rFonts w:ascii="Times New Roman" w:hAnsi="Times New Roman"/>
          <w:sz w:val="24"/>
          <w:szCs w:val="24"/>
        </w:rPr>
        <w:t xml:space="preserve"> кислота не впливала на фармакокінетику або </w:t>
      </w:r>
      <w:proofErr w:type="spellStart"/>
      <w:r>
        <w:rPr>
          <w:rFonts w:ascii="Times New Roman" w:hAnsi="Times New Roman"/>
          <w:sz w:val="24"/>
          <w:szCs w:val="24"/>
        </w:rPr>
        <w:t>фармакодинаміку</w:t>
      </w:r>
      <w:proofErr w:type="spellEnd"/>
      <w:r>
        <w:rPr>
          <w:rFonts w:ascii="Times New Roman" w:hAnsi="Times New Roman"/>
          <w:sz w:val="24"/>
          <w:szCs w:val="24"/>
        </w:rPr>
        <w:t xml:space="preserve"> </w:t>
      </w:r>
      <w:proofErr w:type="spellStart"/>
      <w:r>
        <w:rPr>
          <w:rFonts w:ascii="Times New Roman" w:hAnsi="Times New Roman"/>
          <w:sz w:val="24"/>
          <w:szCs w:val="24"/>
        </w:rPr>
        <w:t>метформіну</w:t>
      </w:r>
      <w:proofErr w:type="spellEnd"/>
      <w:r>
        <w:rPr>
          <w:rFonts w:ascii="Times New Roman" w:hAnsi="Times New Roman"/>
          <w:sz w:val="24"/>
          <w:szCs w:val="24"/>
        </w:rPr>
        <w:t xml:space="preserve">. У клінічних дослідженнях взаємодії </w:t>
      </w:r>
      <w:proofErr w:type="spellStart"/>
      <w:r>
        <w:rPr>
          <w:rFonts w:ascii="Times New Roman" w:hAnsi="Times New Roman"/>
          <w:sz w:val="24"/>
          <w:szCs w:val="24"/>
        </w:rPr>
        <w:t>езетиміб</w:t>
      </w:r>
      <w:proofErr w:type="spellEnd"/>
      <w:r>
        <w:rPr>
          <w:rFonts w:ascii="Times New Roman" w:hAnsi="Times New Roman"/>
          <w:sz w:val="24"/>
          <w:szCs w:val="24"/>
        </w:rPr>
        <w:t xml:space="preserve"> не впливав на фармакокінетику </w:t>
      </w:r>
      <w:proofErr w:type="spellStart"/>
      <w:r>
        <w:rPr>
          <w:rFonts w:ascii="Times New Roman" w:hAnsi="Times New Roman"/>
          <w:sz w:val="24"/>
          <w:szCs w:val="24"/>
        </w:rPr>
        <w:t>дапсону</w:t>
      </w:r>
      <w:proofErr w:type="spellEnd"/>
      <w:r>
        <w:rPr>
          <w:rFonts w:ascii="Times New Roman" w:hAnsi="Times New Roman"/>
          <w:sz w:val="24"/>
          <w:szCs w:val="24"/>
        </w:rPr>
        <w:t xml:space="preserve">, </w:t>
      </w:r>
      <w:proofErr w:type="spellStart"/>
      <w:r>
        <w:rPr>
          <w:rFonts w:ascii="Times New Roman" w:hAnsi="Times New Roman"/>
          <w:sz w:val="24"/>
          <w:szCs w:val="24"/>
        </w:rPr>
        <w:t>декстрометорфану</w:t>
      </w:r>
      <w:proofErr w:type="spellEnd"/>
      <w:r>
        <w:rPr>
          <w:rFonts w:ascii="Times New Roman" w:hAnsi="Times New Roman"/>
          <w:sz w:val="24"/>
          <w:szCs w:val="24"/>
        </w:rPr>
        <w:t xml:space="preserve">, </w:t>
      </w:r>
      <w:proofErr w:type="spellStart"/>
      <w:r>
        <w:rPr>
          <w:rFonts w:ascii="Times New Roman" w:hAnsi="Times New Roman"/>
          <w:sz w:val="24"/>
          <w:szCs w:val="24"/>
        </w:rPr>
        <w:t>дигоксину</w:t>
      </w:r>
      <w:proofErr w:type="spellEnd"/>
      <w:r>
        <w:rPr>
          <w:rFonts w:ascii="Times New Roman" w:hAnsi="Times New Roman"/>
          <w:sz w:val="24"/>
          <w:szCs w:val="24"/>
        </w:rPr>
        <w:t xml:space="preserve">, </w:t>
      </w:r>
      <w:proofErr w:type="spellStart"/>
      <w:r>
        <w:rPr>
          <w:rFonts w:ascii="Times New Roman" w:hAnsi="Times New Roman"/>
          <w:sz w:val="24"/>
          <w:szCs w:val="24"/>
        </w:rPr>
        <w:t>гліпізиду</w:t>
      </w:r>
      <w:proofErr w:type="spellEnd"/>
      <w:r>
        <w:rPr>
          <w:rFonts w:ascii="Times New Roman" w:hAnsi="Times New Roman"/>
          <w:sz w:val="24"/>
          <w:szCs w:val="24"/>
        </w:rPr>
        <w:t xml:space="preserve">, </w:t>
      </w:r>
      <w:proofErr w:type="spellStart"/>
      <w:r>
        <w:rPr>
          <w:rFonts w:ascii="Times New Roman" w:hAnsi="Times New Roman"/>
          <w:sz w:val="24"/>
          <w:szCs w:val="24"/>
        </w:rPr>
        <w:t>толбутаміду</w:t>
      </w:r>
      <w:proofErr w:type="spellEnd"/>
      <w:r>
        <w:rPr>
          <w:rFonts w:ascii="Times New Roman" w:hAnsi="Times New Roman"/>
          <w:sz w:val="24"/>
          <w:szCs w:val="24"/>
        </w:rPr>
        <w:t xml:space="preserve"> або </w:t>
      </w:r>
      <w:proofErr w:type="spellStart"/>
      <w:r>
        <w:rPr>
          <w:rFonts w:ascii="Times New Roman" w:hAnsi="Times New Roman"/>
          <w:sz w:val="24"/>
          <w:szCs w:val="24"/>
        </w:rPr>
        <w:t>мідазоламу</w:t>
      </w:r>
      <w:proofErr w:type="spellEnd"/>
      <w:r>
        <w:rPr>
          <w:rFonts w:ascii="Times New Roman" w:hAnsi="Times New Roman"/>
          <w:sz w:val="24"/>
          <w:szCs w:val="24"/>
        </w:rPr>
        <w:t xml:space="preserve"> під час їх одночасного застосування.</w:t>
      </w:r>
    </w:p>
    <w:p w:rsidR="00A83EAF" w:rsidRDefault="00A83EAF" w:rsidP="00A83EAF">
      <w:pPr>
        <w:widowControl w:val="0"/>
        <w:spacing w:after="0" w:line="240" w:lineRule="auto"/>
        <w:rPr>
          <w:rFonts w:ascii="Times New Roman" w:hAnsi="Times New Roman"/>
          <w:sz w:val="24"/>
          <w:szCs w:val="28"/>
        </w:rPr>
      </w:pPr>
    </w:p>
    <w:p w:rsidR="00A83EAF" w:rsidRDefault="00A83EAF" w:rsidP="00A83EAF">
      <w:pPr>
        <w:widowControl w:val="0"/>
        <w:spacing w:after="0" w:line="240" w:lineRule="auto"/>
        <w:rPr>
          <w:rFonts w:ascii="Times New Roman" w:hAnsi="Times New Roman"/>
          <w:b/>
          <w:i/>
          <w:sz w:val="24"/>
          <w:szCs w:val="28"/>
        </w:rPr>
      </w:pPr>
      <w:r>
        <w:rPr>
          <w:rFonts w:ascii="Times New Roman" w:hAnsi="Times New Roman"/>
          <w:b/>
          <w:i/>
          <w:sz w:val="24"/>
          <w:szCs w:val="28"/>
        </w:rPr>
        <w:t>Особливості застосування</w:t>
      </w:r>
    </w:p>
    <w:p w:rsidR="00A83EAF" w:rsidRDefault="00A83EAF" w:rsidP="00A83EAF">
      <w:pPr>
        <w:shd w:val="clear" w:color="auto" w:fill="FFFFFF"/>
        <w:spacing w:after="0" w:line="240" w:lineRule="auto"/>
        <w:jc w:val="both"/>
        <w:rPr>
          <w:rFonts w:ascii="Times New Roman" w:hAnsi="Times New Roman"/>
          <w:i/>
          <w:sz w:val="24"/>
          <w:szCs w:val="24"/>
        </w:rPr>
      </w:pPr>
      <w:r>
        <w:rPr>
          <w:rFonts w:ascii="Times New Roman" w:hAnsi="Times New Roman"/>
          <w:i/>
          <w:sz w:val="24"/>
          <w:szCs w:val="24"/>
        </w:rPr>
        <w:t xml:space="preserve">Потенційний ризик міопатії при одночасному застосуванні </w:t>
      </w:r>
      <w:proofErr w:type="spellStart"/>
      <w:r>
        <w:rPr>
          <w:rFonts w:ascii="Times New Roman" w:hAnsi="Times New Roman"/>
          <w:i/>
          <w:sz w:val="24"/>
          <w:szCs w:val="24"/>
        </w:rPr>
        <w:t>статинів</w:t>
      </w:r>
      <w:proofErr w:type="spellEnd"/>
    </w:p>
    <w:p w:rsidR="00A83EAF" w:rsidRDefault="00A83EAF" w:rsidP="00A83EAF">
      <w:pPr>
        <w:pStyle w:val="a4"/>
        <w:shd w:val="clear" w:color="auto" w:fill="FFFFFF"/>
        <w:spacing w:after="0"/>
        <w:ind w:left="0"/>
        <w:jc w:val="both"/>
      </w:pPr>
      <w:proofErr w:type="spellStart"/>
      <w:r>
        <w:t>Бемпедоєва</w:t>
      </w:r>
      <w:proofErr w:type="spellEnd"/>
      <w:r>
        <w:t xml:space="preserve"> кислота підвищує концентрацію </w:t>
      </w:r>
      <w:proofErr w:type="spellStart"/>
      <w:r>
        <w:t>статинів</w:t>
      </w:r>
      <w:proofErr w:type="spellEnd"/>
      <w:r>
        <w:t xml:space="preserve"> у плазмі крові (див. розділ «Взаємодія з іншими лікарськими засобами та інші види взаємодій»). </w:t>
      </w:r>
      <w:proofErr w:type="spellStart"/>
      <w:r>
        <w:t>Статини</w:t>
      </w:r>
      <w:proofErr w:type="spellEnd"/>
      <w:r>
        <w:t xml:space="preserve"> іноді спричиняють міопатію. У рідкісних випадках міопатія може проявлятися у формі </w:t>
      </w:r>
      <w:proofErr w:type="spellStart"/>
      <w:r>
        <w:t>рабдоміолізу</w:t>
      </w:r>
      <w:proofErr w:type="spellEnd"/>
      <w:r>
        <w:t xml:space="preserve"> з гострою нирковою недостатністю внаслідок </w:t>
      </w:r>
      <w:proofErr w:type="spellStart"/>
      <w:r>
        <w:t>міоглобінурії</w:t>
      </w:r>
      <w:proofErr w:type="spellEnd"/>
      <w:r>
        <w:t xml:space="preserve"> або без неї, і може призвести до летального результату. У </w:t>
      </w:r>
      <w:proofErr w:type="spellStart"/>
      <w:r>
        <w:t>постмаркетинговому</w:t>
      </w:r>
      <w:proofErr w:type="spellEnd"/>
      <w:r>
        <w:t xml:space="preserve"> періоді застосування </w:t>
      </w:r>
      <w:proofErr w:type="spellStart"/>
      <w:r>
        <w:t>езетимібу</w:t>
      </w:r>
      <w:proofErr w:type="spellEnd"/>
      <w:r>
        <w:t xml:space="preserve"> повідомлялося про дуже рідкісні випадки міопатії та </w:t>
      </w:r>
      <w:proofErr w:type="spellStart"/>
      <w:r>
        <w:t>рабдоміолізу</w:t>
      </w:r>
      <w:proofErr w:type="spellEnd"/>
      <w:r>
        <w:t xml:space="preserve">. Більшість пацієнтів, у яких </w:t>
      </w:r>
      <w:proofErr w:type="spellStart"/>
      <w:r>
        <w:t>розвинувся</w:t>
      </w:r>
      <w:proofErr w:type="spellEnd"/>
      <w:r>
        <w:t xml:space="preserve"> </w:t>
      </w:r>
      <w:proofErr w:type="spellStart"/>
      <w:r>
        <w:t>рабдоміоліз</w:t>
      </w:r>
      <w:proofErr w:type="spellEnd"/>
      <w:r>
        <w:t xml:space="preserve">, приймали </w:t>
      </w:r>
      <w:proofErr w:type="spellStart"/>
      <w:r>
        <w:t>статини</w:t>
      </w:r>
      <w:proofErr w:type="spellEnd"/>
      <w:r>
        <w:t xml:space="preserve"> одночасно з </w:t>
      </w:r>
      <w:proofErr w:type="spellStart"/>
      <w:r>
        <w:t>езетимібом</w:t>
      </w:r>
      <w:proofErr w:type="spellEnd"/>
      <w:r>
        <w:t xml:space="preserve">. Пацієнтів, які отримують лікарський засіб як додаткову терапію до </w:t>
      </w:r>
      <w:proofErr w:type="spellStart"/>
      <w:r>
        <w:t>статинів</w:t>
      </w:r>
      <w:proofErr w:type="spellEnd"/>
      <w:r>
        <w:t xml:space="preserve">, слід контролювати щодо побічних реакцій, пов’язаних із застосуванням високих доз </w:t>
      </w:r>
      <w:proofErr w:type="spellStart"/>
      <w:r>
        <w:t>статинів</w:t>
      </w:r>
      <w:proofErr w:type="spellEnd"/>
      <w:r>
        <w:t xml:space="preserve">. Усіх пацієнтів, які отримують лікарський засіб на додаток до </w:t>
      </w:r>
      <w:proofErr w:type="spellStart"/>
      <w:r>
        <w:t>статинів</w:t>
      </w:r>
      <w:proofErr w:type="spellEnd"/>
      <w:r>
        <w:t xml:space="preserve">, слід попередити про потенційно підвищений ризик міопатії та негайно повідомляти про будь-які незрозумілі м’язові болі, чутливість або слабкість. Якщо такі симптоми виникають під час застосування пацієнтом лікарського засобу та </w:t>
      </w:r>
      <w:proofErr w:type="spellStart"/>
      <w:r>
        <w:t>статину</w:t>
      </w:r>
      <w:proofErr w:type="spellEnd"/>
      <w:r>
        <w:t xml:space="preserve">, слід розглянути можливість зниження максимальної дози того ж </w:t>
      </w:r>
      <w:proofErr w:type="spellStart"/>
      <w:r>
        <w:t>статину</w:t>
      </w:r>
      <w:proofErr w:type="spellEnd"/>
      <w:r>
        <w:t xml:space="preserve"> або альтернативного </w:t>
      </w:r>
      <w:proofErr w:type="spellStart"/>
      <w:r>
        <w:t>статину</w:t>
      </w:r>
      <w:proofErr w:type="spellEnd"/>
      <w:r>
        <w:t xml:space="preserve">, або припинення прийому лікарського засобу та початок альтернативної </w:t>
      </w:r>
      <w:proofErr w:type="spellStart"/>
      <w:r>
        <w:t>ліпідознижувальної</w:t>
      </w:r>
      <w:proofErr w:type="spellEnd"/>
      <w:r>
        <w:t xml:space="preserve"> терапії під ретельним моніторингом рівня ліпідів та побічних реакцій. Якщо міопатія підтверджена рівнем </w:t>
      </w:r>
      <w:proofErr w:type="spellStart"/>
      <w:r>
        <w:t>креатинфосфокінази</w:t>
      </w:r>
      <w:proofErr w:type="spellEnd"/>
      <w:r>
        <w:t xml:space="preserve"> (КФК) &gt;10 × верхня межа норми (ВМН), прийом лікарського засобу та будь-якого </w:t>
      </w:r>
      <w:proofErr w:type="spellStart"/>
      <w:r>
        <w:t>статину</w:t>
      </w:r>
      <w:proofErr w:type="spellEnd"/>
      <w:r>
        <w:t xml:space="preserve">, який пацієнт приймає одночасно, слід негайно припинити. Міозит з рівнем КФК &gt;10 × ВМН рідко спостерігався при застосуванні </w:t>
      </w:r>
      <w:proofErr w:type="spellStart"/>
      <w:r>
        <w:t>бемпедоєвої</w:t>
      </w:r>
      <w:proofErr w:type="spellEnd"/>
      <w:r>
        <w:t xml:space="preserve"> кислоти та фонової терапії </w:t>
      </w:r>
      <w:proofErr w:type="spellStart"/>
      <w:r>
        <w:t>симвастатином</w:t>
      </w:r>
      <w:proofErr w:type="spellEnd"/>
      <w:r>
        <w:t xml:space="preserve"> 40 мг. </w:t>
      </w:r>
      <w:proofErr w:type="spellStart"/>
      <w:r>
        <w:t>Дози симваст</w:t>
      </w:r>
      <w:proofErr w:type="spellEnd"/>
      <w:r>
        <w:t>атину &gt;40 мг не слід застосовувати одночасно з цим лікарським засобом (див. розділи «Спосіб застосування та дози» і «Протипоказання»).</w:t>
      </w:r>
    </w:p>
    <w:p w:rsidR="00A83EAF" w:rsidRDefault="00A83EAF" w:rsidP="00A83EAF">
      <w:pPr>
        <w:pStyle w:val="a4"/>
        <w:shd w:val="clear" w:color="auto" w:fill="FFFFFF"/>
        <w:spacing w:after="0"/>
        <w:ind w:left="0"/>
        <w:jc w:val="both"/>
      </w:pPr>
      <w:r>
        <w:rPr>
          <w:i/>
        </w:rPr>
        <w:t>Підвищений рівень сечової кислоти в сироватці крові</w:t>
      </w:r>
    </w:p>
    <w:p w:rsidR="00A83EAF" w:rsidRDefault="00A83EAF" w:rsidP="00A83EAF">
      <w:pPr>
        <w:pStyle w:val="a4"/>
        <w:shd w:val="clear" w:color="auto" w:fill="FFFFFF"/>
        <w:spacing w:after="0"/>
        <w:ind w:left="0"/>
        <w:jc w:val="both"/>
      </w:pPr>
      <w:proofErr w:type="spellStart"/>
      <w:r>
        <w:t>Бемпедоєва</w:t>
      </w:r>
      <w:proofErr w:type="spellEnd"/>
      <w:r>
        <w:t xml:space="preserve"> кислота може підвищувати рівень сечової кислоти в сироватці крові через пригнічення ОАТ2 ниркових канальців і може спричинити або загострити </w:t>
      </w:r>
      <w:proofErr w:type="spellStart"/>
      <w:r>
        <w:t>гіперурикемію</w:t>
      </w:r>
      <w:proofErr w:type="spellEnd"/>
      <w:r>
        <w:t xml:space="preserve"> та спровокувати подагру у пацієнтів з подагрою в анамнезі або схильними до подагри (див. розділ «Побічні реакції»). Застосування лікарського засобу слід припинити, якщо з’являється </w:t>
      </w:r>
      <w:proofErr w:type="spellStart"/>
      <w:r>
        <w:t>гіперурикемія</w:t>
      </w:r>
      <w:proofErr w:type="spellEnd"/>
      <w:r>
        <w:t>, що супроводжується симптомами подагри.</w:t>
      </w:r>
    </w:p>
    <w:p w:rsidR="00A83EAF" w:rsidRDefault="00A83EAF" w:rsidP="00A83EAF">
      <w:pPr>
        <w:pStyle w:val="a4"/>
        <w:shd w:val="clear" w:color="auto" w:fill="FFFFFF"/>
        <w:spacing w:after="0"/>
        <w:ind w:left="0"/>
        <w:jc w:val="both"/>
      </w:pPr>
      <w:r>
        <w:rPr>
          <w:i/>
        </w:rPr>
        <w:t>Розрив сухожилля.</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Застосування лікарського засобу, пов’язано з підвищеним ризиком розриву або травми сухожилля. У клінічних випробуваннях розрив сухожилля траплявся у 0,5 % пацієнтів, </w:t>
      </w:r>
      <w:r>
        <w:rPr>
          <w:rFonts w:ascii="Times New Roman" w:hAnsi="Times New Roman"/>
          <w:sz w:val="24"/>
          <w:szCs w:val="24"/>
        </w:rPr>
        <w:lastRenderedPageBreak/>
        <w:t xml:space="preserve">які отримували </w:t>
      </w:r>
      <w:proofErr w:type="spellStart"/>
      <w:r>
        <w:rPr>
          <w:rFonts w:ascii="Times New Roman" w:hAnsi="Times New Roman"/>
          <w:bCs/>
          <w:sz w:val="24"/>
          <w:szCs w:val="24"/>
          <w:lang w:eastAsia="ru-RU"/>
        </w:rPr>
        <w:t>бемпедоєву</w:t>
      </w:r>
      <w:proofErr w:type="spellEnd"/>
      <w:r>
        <w:rPr>
          <w:rFonts w:ascii="Times New Roman" w:hAnsi="Times New Roman"/>
          <w:bCs/>
          <w:sz w:val="24"/>
          <w:szCs w:val="24"/>
          <w:lang w:eastAsia="ru-RU"/>
        </w:rPr>
        <w:t xml:space="preserve"> кислоту</w:t>
      </w:r>
      <w:r>
        <w:rPr>
          <w:rFonts w:ascii="Times New Roman" w:hAnsi="Times New Roman"/>
          <w:sz w:val="24"/>
          <w:szCs w:val="24"/>
        </w:rPr>
        <w:t xml:space="preserve">, порівняно з 0 % пацієнтів, які отримували плацебо, і стосувався ротаторної манжети плеча, сухожилля двоголового м’яза плеча або </w:t>
      </w:r>
      <w:proofErr w:type="spellStart"/>
      <w:r>
        <w:rPr>
          <w:rFonts w:ascii="Times New Roman" w:hAnsi="Times New Roman"/>
          <w:sz w:val="24"/>
          <w:szCs w:val="24"/>
        </w:rPr>
        <w:t>ахіллового</w:t>
      </w:r>
      <w:proofErr w:type="spellEnd"/>
      <w:r>
        <w:rPr>
          <w:rFonts w:ascii="Times New Roman" w:hAnsi="Times New Roman"/>
          <w:sz w:val="24"/>
          <w:szCs w:val="24"/>
        </w:rPr>
        <w:t xml:space="preserve"> сухожилля. Розрив сухожилля траплявся протягом тижнів або місяців після початку застосування лікарського засобу та може частіше траплятися у пацієнтів старше 60 років, у тих, хто приймає </w:t>
      </w:r>
      <w:proofErr w:type="spellStart"/>
      <w:r>
        <w:rPr>
          <w:rFonts w:ascii="Times New Roman" w:hAnsi="Times New Roman"/>
          <w:sz w:val="24"/>
          <w:szCs w:val="24"/>
        </w:rPr>
        <w:t>кортикостероїдні</w:t>
      </w:r>
      <w:proofErr w:type="spellEnd"/>
      <w:r>
        <w:rPr>
          <w:rFonts w:ascii="Times New Roman" w:hAnsi="Times New Roman"/>
          <w:sz w:val="24"/>
          <w:szCs w:val="24"/>
        </w:rPr>
        <w:t xml:space="preserve"> засоби або </w:t>
      </w:r>
      <w:proofErr w:type="spellStart"/>
      <w:r>
        <w:rPr>
          <w:rFonts w:ascii="Times New Roman" w:hAnsi="Times New Roman"/>
          <w:sz w:val="24"/>
          <w:szCs w:val="24"/>
        </w:rPr>
        <w:t>фторхінолони</w:t>
      </w:r>
      <w:proofErr w:type="spellEnd"/>
      <w:r>
        <w:rPr>
          <w:rFonts w:ascii="Times New Roman" w:hAnsi="Times New Roman"/>
          <w:sz w:val="24"/>
          <w:szCs w:val="24"/>
        </w:rPr>
        <w:t xml:space="preserve">, у пацієнтів з нирковою недостатністю та у пацієнтів з попередніми захворюваннями сухожиль. Рекомендовано негайно припинити прийом </w:t>
      </w:r>
      <w:proofErr w:type="spellStart"/>
      <w:r>
        <w:rPr>
          <w:rFonts w:ascii="Times New Roman" w:hAnsi="Times New Roman"/>
          <w:bCs/>
          <w:sz w:val="24"/>
          <w:szCs w:val="24"/>
          <w:lang w:eastAsia="ru-RU"/>
        </w:rPr>
        <w:t>бемпедоєвої</w:t>
      </w:r>
      <w:proofErr w:type="spellEnd"/>
      <w:r>
        <w:rPr>
          <w:rFonts w:ascii="Times New Roman" w:hAnsi="Times New Roman"/>
          <w:bCs/>
          <w:sz w:val="24"/>
          <w:szCs w:val="24"/>
          <w:lang w:eastAsia="ru-RU"/>
        </w:rPr>
        <w:t xml:space="preserve"> кислоти</w:t>
      </w:r>
      <w:r>
        <w:rPr>
          <w:rFonts w:ascii="Times New Roman" w:hAnsi="Times New Roman"/>
          <w:sz w:val="24"/>
          <w:szCs w:val="24"/>
        </w:rPr>
        <w:t xml:space="preserve">, якщо у пацієнта виникне розрив сухожилля, а також необхідно розглянути можливість припинення прийому лікарського засобу, якщо у пацієнта виникне біль у суглобах, набряк або запалення. Пацієнтам слід забезпечити спокій при перших ознаках </w:t>
      </w:r>
      <w:proofErr w:type="spellStart"/>
      <w:r>
        <w:rPr>
          <w:rFonts w:ascii="Times New Roman" w:hAnsi="Times New Roman"/>
          <w:sz w:val="24"/>
          <w:szCs w:val="24"/>
        </w:rPr>
        <w:t>тендиніту</w:t>
      </w:r>
      <w:proofErr w:type="spellEnd"/>
      <w:r>
        <w:rPr>
          <w:rFonts w:ascii="Times New Roman" w:hAnsi="Times New Roman"/>
          <w:sz w:val="24"/>
          <w:szCs w:val="24"/>
        </w:rPr>
        <w:t xml:space="preserve"> або розриві сухожилля та звернутися до лікаря, якщо виникнуть симптоми </w:t>
      </w:r>
      <w:proofErr w:type="spellStart"/>
      <w:r>
        <w:rPr>
          <w:rFonts w:ascii="Times New Roman" w:hAnsi="Times New Roman"/>
          <w:sz w:val="24"/>
          <w:szCs w:val="24"/>
        </w:rPr>
        <w:t>тендиніту</w:t>
      </w:r>
      <w:proofErr w:type="spellEnd"/>
      <w:r>
        <w:rPr>
          <w:rFonts w:ascii="Times New Roman" w:hAnsi="Times New Roman"/>
          <w:sz w:val="24"/>
          <w:szCs w:val="24"/>
        </w:rPr>
        <w:t xml:space="preserve"> або розриву сухожилля. Необхідно розглянути альтернативну терапію для пацієнтів з захворюваннями сухожилля або розривом сухожилля в анамнезі.</w:t>
      </w:r>
    </w:p>
    <w:p w:rsidR="00A83EAF" w:rsidRDefault="00A83EAF" w:rsidP="00A83EAF">
      <w:pPr>
        <w:pStyle w:val="smpc-subtitle"/>
        <w:shd w:val="clear" w:color="auto" w:fill="FFFFFF"/>
        <w:spacing w:before="0" w:beforeAutospacing="0" w:after="0" w:afterAutospacing="0"/>
        <w:jc w:val="both"/>
        <w:rPr>
          <w:i/>
        </w:rPr>
      </w:pPr>
      <w:r>
        <w:rPr>
          <w:i/>
        </w:rPr>
        <w:t>Підвищені печінкові ферменти</w:t>
      </w:r>
    </w:p>
    <w:p w:rsidR="00A83EAF" w:rsidRDefault="00A83EAF" w:rsidP="00A83EAF">
      <w:pPr>
        <w:pStyle w:val="a4"/>
        <w:shd w:val="clear" w:color="auto" w:fill="FFFFFF"/>
        <w:spacing w:after="0"/>
        <w:ind w:left="0"/>
        <w:jc w:val="both"/>
      </w:pPr>
      <w:r>
        <w:t xml:space="preserve">У клінічних випробуваннях повідомлялося про підвищення рівнів печінкових ферментів аланін-амінотрансферази (АЛТ) та </w:t>
      </w:r>
      <w:proofErr w:type="spellStart"/>
      <w:r>
        <w:t>аспартат-амінотрансферази</w:t>
      </w:r>
      <w:proofErr w:type="spellEnd"/>
      <w:r>
        <w:t xml:space="preserve"> (АСТ) &gt;3 × ВМН при застосуванні </w:t>
      </w:r>
      <w:proofErr w:type="spellStart"/>
      <w:r>
        <w:t>бемпедоєвої</w:t>
      </w:r>
      <w:proofErr w:type="spellEnd"/>
      <w:r>
        <w:t xml:space="preserve"> кислоти. Це підвищення було </w:t>
      </w:r>
      <w:proofErr w:type="spellStart"/>
      <w:r>
        <w:t>безсимптомним</w:t>
      </w:r>
      <w:proofErr w:type="spellEnd"/>
      <w:r>
        <w:t xml:space="preserve"> і не пов’язане з підвищенням рівня білірубіну ≥2 × ВМН або з </w:t>
      </w:r>
      <w:proofErr w:type="spellStart"/>
      <w:r>
        <w:t>холестазом</w:t>
      </w:r>
      <w:proofErr w:type="spellEnd"/>
      <w:r>
        <w:t xml:space="preserve">, і поверталося до початкового рівня при продовженні лікування або після припинення терапії. У контрольованих дослідженнях сумісного застосування у пацієнтів, які отримували </w:t>
      </w:r>
      <w:proofErr w:type="spellStart"/>
      <w:r>
        <w:t>езетиміб</w:t>
      </w:r>
      <w:proofErr w:type="spellEnd"/>
      <w:r>
        <w:t xml:space="preserve"> зі </w:t>
      </w:r>
      <w:proofErr w:type="spellStart"/>
      <w:r>
        <w:t>статином</w:t>
      </w:r>
      <w:proofErr w:type="spellEnd"/>
      <w:r>
        <w:t xml:space="preserve">, спостерігалося послідовне підвищення рівня </w:t>
      </w:r>
      <w:proofErr w:type="spellStart"/>
      <w:r>
        <w:t>трансаміназ</w:t>
      </w:r>
      <w:proofErr w:type="spellEnd"/>
      <w:r>
        <w:t xml:space="preserve"> (≥3 × ВМН). На початку терапії слід проводити печінкові проби. Застосування лікарського засобу слід припинити, якщо підвищення рівня </w:t>
      </w:r>
      <w:proofErr w:type="spellStart"/>
      <w:r>
        <w:t>трансаміназ</w:t>
      </w:r>
      <w:proofErr w:type="spellEnd"/>
      <w:r>
        <w:t xml:space="preserve"> &gt;3 × ВМН зберігається (див. розділи «Протипоказання» та «Побічні реакції»).</w:t>
      </w:r>
    </w:p>
    <w:p w:rsidR="00A83EAF" w:rsidRDefault="00A83EAF" w:rsidP="00A83EAF">
      <w:pPr>
        <w:pStyle w:val="a4"/>
        <w:shd w:val="clear" w:color="auto" w:fill="FFFFFF"/>
        <w:spacing w:after="0"/>
        <w:ind w:left="0"/>
        <w:jc w:val="both"/>
        <w:rPr>
          <w:i/>
        </w:rPr>
      </w:pPr>
      <w:r>
        <w:rPr>
          <w:i/>
        </w:rPr>
        <w:t>Порушення функції нирок</w:t>
      </w:r>
    </w:p>
    <w:p w:rsidR="00A83EAF" w:rsidRDefault="00A83EAF" w:rsidP="00A83EAF">
      <w:pPr>
        <w:pStyle w:val="a4"/>
        <w:shd w:val="clear" w:color="auto" w:fill="FFFFFF"/>
        <w:spacing w:after="0"/>
        <w:ind w:left="0"/>
        <w:jc w:val="both"/>
      </w:pPr>
      <w:r>
        <w:t xml:space="preserve">Досвід застосування </w:t>
      </w:r>
      <w:proofErr w:type="spellStart"/>
      <w:r>
        <w:t>бемпедоєвої</w:t>
      </w:r>
      <w:proofErr w:type="spellEnd"/>
      <w:r>
        <w:t xml:space="preserve"> кислоти пацієнтам з тяжкою нирковою недостатністю (визначеною як </w:t>
      </w:r>
      <w:proofErr w:type="spellStart"/>
      <w:r>
        <w:t>рШКФ</w:t>
      </w:r>
      <w:proofErr w:type="spellEnd"/>
      <w:r>
        <w:t xml:space="preserve"> &lt;30 </w:t>
      </w:r>
      <w:proofErr w:type="spellStart"/>
      <w:r>
        <w:t>мл</w:t>
      </w:r>
      <w:proofErr w:type="spellEnd"/>
      <w:r>
        <w:t>/</w:t>
      </w:r>
      <w:proofErr w:type="spellStart"/>
      <w:r>
        <w:t>хв</w:t>
      </w:r>
      <w:proofErr w:type="spellEnd"/>
      <w:r>
        <w:t xml:space="preserve">/1,73 м²) обмежений, а пацієнти з термінальною стадією ниркової недостатності, які перебувають на діалізі, не досліджували </w:t>
      </w:r>
      <w:proofErr w:type="spellStart"/>
      <w:r>
        <w:t>бемпедоєву</w:t>
      </w:r>
      <w:proofErr w:type="spellEnd"/>
      <w:r>
        <w:t xml:space="preserve"> кислоту (див. розділ «Фармакокінетика»). При застосуванні лікарського засобу у цих пацієнтів може знадобитися додатковий моніторинг щодо побічних реакцій.</w:t>
      </w:r>
    </w:p>
    <w:p w:rsidR="00A83EAF" w:rsidRDefault="00A83EAF" w:rsidP="00A83EAF">
      <w:pPr>
        <w:pStyle w:val="a4"/>
        <w:shd w:val="clear" w:color="auto" w:fill="FFFFFF"/>
        <w:spacing w:after="0"/>
        <w:ind w:left="0"/>
        <w:jc w:val="both"/>
        <w:rPr>
          <w:i/>
        </w:rPr>
      </w:pPr>
      <w:r>
        <w:rPr>
          <w:i/>
        </w:rPr>
        <w:t>Порушення функції печінки</w:t>
      </w:r>
    </w:p>
    <w:p w:rsidR="00A83EAF" w:rsidRDefault="00A83EAF" w:rsidP="00A83EAF">
      <w:pPr>
        <w:pStyle w:val="a4"/>
        <w:shd w:val="clear" w:color="auto" w:fill="FFFFFF"/>
        <w:spacing w:after="0"/>
        <w:ind w:left="0"/>
        <w:jc w:val="both"/>
      </w:pPr>
      <w:r>
        <w:t xml:space="preserve">Через невідомі наслідки підвищеного впливу </w:t>
      </w:r>
      <w:proofErr w:type="spellStart"/>
      <w:r>
        <w:t>езетимібу</w:t>
      </w:r>
      <w:proofErr w:type="spellEnd"/>
      <w:r>
        <w:t xml:space="preserve"> на пацієнтів з помірним та тяжким порушенням функції печінки (клас B та C за класифікацією </w:t>
      </w:r>
      <w:proofErr w:type="spellStart"/>
      <w:r>
        <w:t>Чайлда-П’ю</w:t>
      </w:r>
      <w:proofErr w:type="spellEnd"/>
      <w:r>
        <w:t xml:space="preserve">), застосування лікарського засобу цим пацієнтам не рекомендується (див. розділ «Фармакокінетика»). </w:t>
      </w:r>
      <w:proofErr w:type="spellStart"/>
      <w:r>
        <w:rPr>
          <w:i/>
        </w:rPr>
        <w:t>Фібрати</w:t>
      </w:r>
      <w:proofErr w:type="spellEnd"/>
    </w:p>
    <w:p w:rsidR="00A83EAF" w:rsidRDefault="00A83EAF" w:rsidP="00A83EAF">
      <w:pPr>
        <w:pStyle w:val="a4"/>
        <w:shd w:val="clear" w:color="auto" w:fill="FFFFFF"/>
        <w:spacing w:after="0"/>
        <w:ind w:left="0"/>
        <w:jc w:val="both"/>
      </w:pPr>
      <w:r>
        <w:t xml:space="preserve">Безпека та ефективність </w:t>
      </w:r>
      <w:proofErr w:type="spellStart"/>
      <w:r>
        <w:t>езетимібу</w:t>
      </w:r>
      <w:proofErr w:type="spellEnd"/>
      <w:r>
        <w:t xml:space="preserve"> при застосуванні з </w:t>
      </w:r>
      <w:proofErr w:type="spellStart"/>
      <w:r>
        <w:t>фібратами</w:t>
      </w:r>
      <w:proofErr w:type="spellEnd"/>
      <w:r>
        <w:t xml:space="preserve"> не встановлені. Якщо у пацієнта, який отримує лікарський засіб та </w:t>
      </w:r>
      <w:proofErr w:type="spellStart"/>
      <w:r>
        <w:t>фенофібрат</w:t>
      </w:r>
      <w:proofErr w:type="spellEnd"/>
      <w:r>
        <w:t xml:space="preserve">, підозрюється </w:t>
      </w:r>
      <w:proofErr w:type="spellStart"/>
      <w:r>
        <w:t>жовчокам’яна</w:t>
      </w:r>
      <w:proofErr w:type="spellEnd"/>
      <w:r>
        <w:t xml:space="preserve"> хвороба, показані дослідження жовчного міхура, а цю терапію слід припинити (див. розділи «Взаємодія з іншими лікарськими засобами та інші види взаємодій» і «Побічні реакції»).</w:t>
      </w:r>
    </w:p>
    <w:p w:rsidR="00A83EAF" w:rsidRDefault="00A83EAF" w:rsidP="00A83EAF">
      <w:pPr>
        <w:pStyle w:val="a4"/>
        <w:shd w:val="clear" w:color="auto" w:fill="FFFFFF"/>
        <w:spacing w:after="0"/>
        <w:ind w:left="0"/>
        <w:jc w:val="both"/>
      </w:pPr>
      <w:proofErr w:type="spellStart"/>
      <w:r>
        <w:rPr>
          <w:i/>
        </w:rPr>
        <w:t>Циклоспорин</w:t>
      </w:r>
      <w:proofErr w:type="spellEnd"/>
    </w:p>
    <w:p w:rsidR="00A83EAF" w:rsidRDefault="00A83EAF" w:rsidP="00A83EAF">
      <w:pPr>
        <w:pStyle w:val="a4"/>
        <w:shd w:val="clear" w:color="auto" w:fill="FFFFFF"/>
        <w:spacing w:after="0"/>
        <w:ind w:left="0"/>
        <w:jc w:val="both"/>
      </w:pPr>
      <w:r>
        <w:t xml:space="preserve">Слід бути обережним на початку застосування лікарського засобу одночасно з </w:t>
      </w:r>
      <w:proofErr w:type="spellStart"/>
      <w:r>
        <w:t>циклоспорином</w:t>
      </w:r>
      <w:proofErr w:type="spellEnd"/>
      <w:r>
        <w:t xml:space="preserve">. Концентрації </w:t>
      </w:r>
      <w:proofErr w:type="spellStart"/>
      <w:r>
        <w:t>циклоспорину</w:t>
      </w:r>
      <w:proofErr w:type="spellEnd"/>
      <w:r>
        <w:t xml:space="preserve"> слід контролювати у пацієнтів, які отримують лікарський засіб та </w:t>
      </w:r>
      <w:proofErr w:type="spellStart"/>
      <w:r>
        <w:t>циклоспорин</w:t>
      </w:r>
      <w:proofErr w:type="spellEnd"/>
      <w:r>
        <w:t xml:space="preserve"> (див. розділ «Взаємодія з іншими лікарськими засобами та інші види взаємодій»).</w:t>
      </w:r>
    </w:p>
    <w:p w:rsidR="00A83EAF" w:rsidRDefault="00A83EAF" w:rsidP="00A83EAF">
      <w:pPr>
        <w:pStyle w:val="smpc-subtitle"/>
        <w:shd w:val="clear" w:color="auto" w:fill="FFFFFF"/>
        <w:spacing w:before="0" w:beforeAutospacing="0" w:after="0" w:afterAutospacing="0"/>
        <w:jc w:val="both"/>
        <w:rPr>
          <w:i/>
        </w:rPr>
      </w:pPr>
      <w:r>
        <w:rPr>
          <w:i/>
        </w:rPr>
        <w:t>Антикоагулянти</w:t>
      </w:r>
    </w:p>
    <w:p w:rsidR="00A83EAF" w:rsidRDefault="00A83EAF" w:rsidP="00A83EAF">
      <w:pPr>
        <w:pStyle w:val="a4"/>
        <w:shd w:val="clear" w:color="auto" w:fill="FFFFFF"/>
        <w:spacing w:after="0"/>
        <w:ind w:left="0"/>
        <w:jc w:val="both"/>
      </w:pPr>
      <w:r>
        <w:t xml:space="preserve">Якщо лікарський засіб додавати до </w:t>
      </w:r>
      <w:proofErr w:type="spellStart"/>
      <w:r>
        <w:t>варфарину</w:t>
      </w:r>
      <w:proofErr w:type="spellEnd"/>
      <w:r>
        <w:t xml:space="preserve">, інших </w:t>
      </w:r>
      <w:proofErr w:type="spellStart"/>
      <w:r>
        <w:t>кумаринових</w:t>
      </w:r>
      <w:proofErr w:type="spellEnd"/>
      <w:r>
        <w:t xml:space="preserve"> антикоагулянтів або </w:t>
      </w:r>
      <w:proofErr w:type="spellStart"/>
      <w:r>
        <w:t>флуїндіону</w:t>
      </w:r>
      <w:proofErr w:type="spellEnd"/>
      <w:r>
        <w:t>, слід належним чином контролювати міжнародне нормалізоване співвідношення (МНС) (див. розділ «Взаємодія з іншими лікарськими засобами та інші види взаємодій»).</w:t>
      </w:r>
    </w:p>
    <w:p w:rsidR="00A83EAF" w:rsidRDefault="00A83EAF" w:rsidP="00A83EAF">
      <w:pPr>
        <w:pStyle w:val="smpc-subtitle"/>
        <w:shd w:val="clear" w:color="auto" w:fill="FFFFFF"/>
        <w:spacing w:before="0" w:beforeAutospacing="0" w:after="0" w:afterAutospacing="0"/>
        <w:jc w:val="both"/>
        <w:rPr>
          <w:i/>
        </w:rPr>
      </w:pPr>
      <w:r>
        <w:rPr>
          <w:i/>
        </w:rPr>
        <w:lastRenderedPageBreak/>
        <w:t>Контрацептивні заходи у жінок репродуктивного віку</w:t>
      </w:r>
    </w:p>
    <w:p w:rsidR="00A83EAF" w:rsidRDefault="00A83EAF" w:rsidP="00A83EAF">
      <w:pPr>
        <w:pStyle w:val="a4"/>
        <w:shd w:val="clear" w:color="auto" w:fill="FFFFFF"/>
        <w:spacing w:after="0"/>
        <w:ind w:left="0"/>
        <w:jc w:val="both"/>
      </w:pPr>
      <w:r>
        <w:t>Перед початком лікування жінок репродуктивного віку слід надати їм відповідні рекомендації щодо ефективних методів контрацепції та розпочати ефективну контрацепцію.</w:t>
      </w:r>
    </w:p>
    <w:p w:rsidR="00A83EAF" w:rsidRDefault="00A83EAF" w:rsidP="00A83EAF">
      <w:pPr>
        <w:pStyle w:val="a4"/>
        <w:shd w:val="clear" w:color="auto" w:fill="FFFFFF"/>
        <w:spacing w:after="0"/>
        <w:ind w:left="0"/>
        <w:jc w:val="both"/>
      </w:pPr>
      <w:r>
        <w:t>Пацієнток, які приймають пероральні контрацептиви на основі естрогену, слід попередити про можливу втрату ефективності через діарею та/або блювання. Пацієнткам слід порадити негайно звернутися до лікаря та припинити лікування, якщо вони планують вагітність або якщо вони завагітніли (див. розділ «Застосування у період вагітності або годування груддю»).</w:t>
      </w:r>
    </w:p>
    <w:p w:rsidR="00A83EAF" w:rsidRDefault="00A83EAF" w:rsidP="00A83EAF">
      <w:pPr>
        <w:pStyle w:val="smpc-subtitle"/>
        <w:shd w:val="clear" w:color="auto" w:fill="FFFFFF"/>
        <w:spacing w:before="0" w:beforeAutospacing="0" w:after="0" w:afterAutospacing="0"/>
        <w:jc w:val="both"/>
        <w:rPr>
          <w:i/>
        </w:rPr>
      </w:pPr>
      <w:bookmarkStart w:id="2" w:name="_Hlk535834999"/>
      <w:r>
        <w:rPr>
          <w:i/>
        </w:rPr>
        <w:t>Пацієнти з високим ризиком серцево-судинних захворювань</w:t>
      </w:r>
    </w:p>
    <w:p w:rsidR="00A83EAF" w:rsidRDefault="00A83EAF" w:rsidP="00A83EAF">
      <w:pPr>
        <w:pStyle w:val="a4"/>
        <w:shd w:val="clear" w:color="auto" w:fill="FFFFFF"/>
        <w:spacing w:after="0"/>
        <w:ind w:left="0"/>
        <w:jc w:val="both"/>
      </w:pPr>
      <w:r>
        <w:t xml:space="preserve">Докази щодо застосування фіксованого комбінованого лікарського засобу </w:t>
      </w:r>
      <w:proofErr w:type="spellStart"/>
      <w:r>
        <w:t>бемпедоєвої</w:t>
      </w:r>
      <w:proofErr w:type="spellEnd"/>
      <w:r>
        <w:t xml:space="preserve"> кислоти з </w:t>
      </w:r>
      <w:proofErr w:type="spellStart"/>
      <w:r>
        <w:t>езетимібом</w:t>
      </w:r>
      <w:proofErr w:type="spellEnd"/>
      <w:r>
        <w:t xml:space="preserve"> у пацієнтів з високим ризиком серцево-судинних захворювань доступні лише для </w:t>
      </w:r>
      <w:proofErr w:type="spellStart"/>
      <w:r>
        <w:t>гіполіпідемічного</w:t>
      </w:r>
      <w:proofErr w:type="spellEnd"/>
      <w:r>
        <w:t xml:space="preserve"> ефекту за відсутності будь-яких оцінок зниження серцево-судинного ризику для </w:t>
      </w:r>
      <w:proofErr w:type="spellStart"/>
      <w:r>
        <w:t>езетимібу</w:t>
      </w:r>
      <w:proofErr w:type="spellEnd"/>
      <w:r>
        <w:t xml:space="preserve"> у пацієнтів з первинною профілактикою (див. розділ «</w:t>
      </w:r>
      <w:proofErr w:type="spellStart"/>
      <w:r>
        <w:t>Фармакодинаміка</w:t>
      </w:r>
      <w:proofErr w:type="spellEnd"/>
      <w:r>
        <w:t>»).</w:t>
      </w:r>
    </w:p>
    <w:p w:rsidR="00A83EAF" w:rsidRDefault="00A83EAF" w:rsidP="00A83EAF">
      <w:pPr>
        <w:spacing w:after="0" w:line="240" w:lineRule="auto"/>
        <w:jc w:val="both"/>
        <w:rPr>
          <w:rFonts w:ascii="Times New Roman" w:hAnsi="Times New Roman"/>
          <w:i/>
          <w:sz w:val="24"/>
          <w:szCs w:val="24"/>
          <w:lang w:eastAsia="ru-RU"/>
        </w:rPr>
      </w:pPr>
      <w:r>
        <w:rPr>
          <w:rFonts w:ascii="Times New Roman" w:hAnsi="Times New Roman"/>
          <w:i/>
          <w:sz w:val="24"/>
          <w:szCs w:val="20"/>
          <w:lang w:eastAsia="ru-RU"/>
        </w:rPr>
        <w:t>Важлива інформація про допоміжні речовини</w:t>
      </w:r>
      <w:bookmarkEnd w:id="2"/>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Лікарський засіб містить лактозу. Пацієнтам з рідкісними спадковими захворюваннями непереносимості галактози, повним дефіцитом лактази або </w:t>
      </w:r>
      <w:proofErr w:type="spellStart"/>
      <w:r>
        <w:rPr>
          <w:rFonts w:ascii="Times New Roman" w:hAnsi="Times New Roman"/>
          <w:sz w:val="24"/>
          <w:szCs w:val="24"/>
        </w:rPr>
        <w:t>мальабсорбцією</w:t>
      </w:r>
      <w:proofErr w:type="spellEnd"/>
      <w:r>
        <w:rPr>
          <w:rFonts w:ascii="Times New Roman" w:hAnsi="Times New Roman"/>
          <w:sz w:val="24"/>
          <w:szCs w:val="24"/>
        </w:rPr>
        <w:t xml:space="preserve"> глюкози-галактози не слід приймати цей лікарський засіб.</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Цей лікарський засіб містить менше 1 </w:t>
      </w:r>
      <w:proofErr w:type="spellStart"/>
      <w:r>
        <w:rPr>
          <w:rFonts w:ascii="Times New Roman" w:hAnsi="Times New Roman"/>
          <w:sz w:val="24"/>
          <w:szCs w:val="24"/>
        </w:rPr>
        <w:t>ммоль</w:t>
      </w:r>
      <w:proofErr w:type="spellEnd"/>
      <w:r>
        <w:rPr>
          <w:rFonts w:ascii="Times New Roman" w:hAnsi="Times New Roman"/>
          <w:sz w:val="24"/>
          <w:szCs w:val="24"/>
        </w:rPr>
        <w:t xml:space="preserve"> натрію (23 мг) на 1 таблетку, тобто практично не містить натрію.</w:t>
      </w:r>
    </w:p>
    <w:p w:rsidR="00A83EAF" w:rsidRDefault="00A83EAF" w:rsidP="00A83EAF">
      <w:pPr>
        <w:spacing w:after="0" w:line="240" w:lineRule="auto"/>
        <w:rPr>
          <w:rFonts w:ascii="Times New Roman" w:hAnsi="Times New Roman"/>
          <w:b/>
          <w:i/>
          <w:sz w:val="24"/>
          <w:szCs w:val="28"/>
        </w:rPr>
      </w:pPr>
    </w:p>
    <w:p w:rsidR="00A83EAF" w:rsidRDefault="00A83EAF" w:rsidP="00A83EAF">
      <w:pPr>
        <w:spacing w:after="0" w:line="240" w:lineRule="auto"/>
        <w:rPr>
          <w:rFonts w:ascii="Times New Roman" w:hAnsi="Times New Roman"/>
          <w:i/>
          <w:sz w:val="24"/>
          <w:szCs w:val="28"/>
        </w:rPr>
      </w:pPr>
      <w:r>
        <w:rPr>
          <w:rFonts w:ascii="Times New Roman" w:hAnsi="Times New Roman"/>
          <w:b/>
          <w:i/>
          <w:sz w:val="24"/>
          <w:szCs w:val="28"/>
        </w:rPr>
        <w:t>Застосування у період вагітності або годування груддю</w:t>
      </w:r>
    </w:p>
    <w:p w:rsidR="00A83EAF" w:rsidRDefault="00A83EAF" w:rsidP="00A83EAF">
      <w:pPr>
        <w:shd w:val="clear" w:color="auto" w:fill="FFFFFF"/>
        <w:spacing w:after="0" w:line="240" w:lineRule="auto"/>
        <w:jc w:val="both"/>
        <w:rPr>
          <w:rFonts w:ascii="Times New Roman" w:hAnsi="Times New Roman"/>
          <w:i/>
          <w:sz w:val="24"/>
          <w:szCs w:val="24"/>
        </w:rPr>
      </w:pPr>
      <w:r>
        <w:rPr>
          <w:rFonts w:ascii="Times New Roman" w:hAnsi="Times New Roman"/>
          <w:i/>
          <w:sz w:val="24"/>
          <w:szCs w:val="24"/>
        </w:rPr>
        <w:t>Вагітність</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Лікарський засіб протипоказаний у період вагітності (див. розділ «Протипоказання»). Дані щодо застосування лікарського засобу вагітним жінкам відсутні або обмежені. Дослідження впливу </w:t>
      </w:r>
      <w:proofErr w:type="spellStart"/>
      <w:r>
        <w:rPr>
          <w:rFonts w:ascii="Times New Roman" w:hAnsi="Times New Roman"/>
          <w:sz w:val="24"/>
          <w:szCs w:val="24"/>
        </w:rPr>
        <w:t>бемпедоєвої</w:t>
      </w:r>
      <w:proofErr w:type="spellEnd"/>
      <w:r>
        <w:rPr>
          <w:rFonts w:ascii="Times New Roman" w:hAnsi="Times New Roman"/>
          <w:sz w:val="24"/>
          <w:szCs w:val="24"/>
        </w:rPr>
        <w:t xml:space="preserve"> кислоти на тварин показали репродуктивну токсичність. Оскільки </w:t>
      </w:r>
      <w:proofErr w:type="spellStart"/>
      <w:r>
        <w:rPr>
          <w:rFonts w:ascii="Times New Roman" w:hAnsi="Times New Roman"/>
          <w:sz w:val="24"/>
          <w:szCs w:val="24"/>
        </w:rPr>
        <w:t>бемпедоєва</w:t>
      </w:r>
      <w:proofErr w:type="spellEnd"/>
      <w:r>
        <w:rPr>
          <w:rFonts w:ascii="Times New Roman" w:hAnsi="Times New Roman"/>
          <w:sz w:val="24"/>
          <w:szCs w:val="24"/>
        </w:rPr>
        <w:t xml:space="preserve"> кислота знижує синтез холестерину та, можливо, синтез інших похідних холестерину, необхідних для нормального розвитку плода, лікарський засіб може завдати шкоди плоду при застосуванні вагітним жінкам. Прийом лікарського засобу слід припинити до зачаття або як тільки вагітність планується чи діагностується (див. розділ «Протипоказання»).</w:t>
      </w:r>
    </w:p>
    <w:p w:rsidR="00A83EAF" w:rsidRDefault="00A83EAF" w:rsidP="00A83EAF">
      <w:pPr>
        <w:shd w:val="clear" w:color="auto" w:fill="FFFFFF"/>
        <w:spacing w:after="0" w:line="240" w:lineRule="auto"/>
        <w:jc w:val="both"/>
        <w:rPr>
          <w:rFonts w:ascii="Times New Roman" w:hAnsi="Times New Roman"/>
          <w:i/>
          <w:sz w:val="24"/>
          <w:szCs w:val="24"/>
        </w:rPr>
      </w:pPr>
      <w:r>
        <w:rPr>
          <w:rFonts w:ascii="Times New Roman" w:hAnsi="Times New Roman"/>
          <w:i/>
          <w:sz w:val="24"/>
          <w:szCs w:val="24"/>
        </w:rPr>
        <w:t>Жінки репродуктивного віку</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Жінкам репродуктивного віку слід використовувати ефективні засоби контрацепції під час лікування (див. розділ «Особливості застосування»).</w:t>
      </w:r>
    </w:p>
    <w:p w:rsidR="00A83EAF" w:rsidRDefault="00A83EAF" w:rsidP="00A83EAF">
      <w:pPr>
        <w:shd w:val="clear" w:color="auto" w:fill="FFFFFF"/>
        <w:spacing w:after="0" w:line="240" w:lineRule="auto"/>
        <w:jc w:val="both"/>
        <w:rPr>
          <w:rFonts w:ascii="Times New Roman" w:hAnsi="Times New Roman"/>
          <w:i/>
          <w:sz w:val="24"/>
          <w:szCs w:val="24"/>
        </w:rPr>
      </w:pPr>
      <w:r>
        <w:rPr>
          <w:rFonts w:ascii="Times New Roman" w:hAnsi="Times New Roman"/>
          <w:i/>
          <w:sz w:val="24"/>
          <w:szCs w:val="24"/>
        </w:rPr>
        <w:t>Грудне годування</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Невідомо, чи проникає </w:t>
      </w:r>
      <w:proofErr w:type="spellStart"/>
      <w:r>
        <w:rPr>
          <w:rFonts w:ascii="Times New Roman" w:hAnsi="Times New Roman"/>
          <w:sz w:val="24"/>
          <w:szCs w:val="24"/>
        </w:rPr>
        <w:t>бемпедоєва</w:t>
      </w:r>
      <w:proofErr w:type="spellEnd"/>
      <w:r>
        <w:rPr>
          <w:rFonts w:ascii="Times New Roman" w:hAnsi="Times New Roman"/>
          <w:sz w:val="24"/>
          <w:szCs w:val="24"/>
        </w:rPr>
        <w:t xml:space="preserve"> кислота або її метаболіти або </w:t>
      </w:r>
      <w:proofErr w:type="spellStart"/>
      <w:r>
        <w:rPr>
          <w:rFonts w:ascii="Times New Roman" w:hAnsi="Times New Roman"/>
          <w:sz w:val="24"/>
          <w:szCs w:val="24"/>
        </w:rPr>
        <w:t>езетиміб</w:t>
      </w:r>
      <w:proofErr w:type="spellEnd"/>
      <w:r>
        <w:rPr>
          <w:rFonts w:ascii="Times New Roman" w:hAnsi="Times New Roman"/>
          <w:sz w:val="24"/>
          <w:szCs w:val="24"/>
        </w:rPr>
        <w:t xml:space="preserve"> / метаболіти у грудне молоко. Через потенційну можливість серйозних побічних реакцій жінкам, які приймають лікарський засіб, слід припинити годування груддю дітей. Лікарський засіб протипоказаний у період годування груддю (див. розділ «Протипоказання»). </w:t>
      </w:r>
      <w:r>
        <w:rPr>
          <w:rFonts w:ascii="Times New Roman" w:hAnsi="Times New Roman"/>
          <w:i/>
          <w:sz w:val="24"/>
          <w:szCs w:val="24"/>
        </w:rPr>
        <w:t>Фертильність</w:t>
      </w:r>
    </w:p>
    <w:p w:rsidR="00A83EAF" w:rsidRDefault="00A83EAF" w:rsidP="00A83EAF">
      <w:pPr>
        <w:pStyle w:val="a4"/>
        <w:shd w:val="clear" w:color="auto" w:fill="FFFFFF"/>
        <w:spacing w:after="0"/>
        <w:ind w:left="0"/>
        <w:jc w:val="both"/>
      </w:pPr>
      <w:r>
        <w:t>Дані щодо впливу лікарського засобу на фертильність людини відсутні. На основі досліджень на тваринах не очікується впливу лікарського засобу на репродуктивну функцію або фертильність.</w:t>
      </w:r>
    </w:p>
    <w:p w:rsidR="00A83EAF" w:rsidRDefault="00A83EAF" w:rsidP="00A83EAF">
      <w:pPr>
        <w:widowControl w:val="0"/>
        <w:spacing w:after="0" w:line="240" w:lineRule="auto"/>
        <w:rPr>
          <w:rFonts w:ascii="Times New Roman" w:hAnsi="Times New Roman"/>
          <w:i/>
          <w:sz w:val="24"/>
          <w:szCs w:val="20"/>
          <w:lang w:eastAsia="ru-RU"/>
        </w:rPr>
      </w:pPr>
    </w:p>
    <w:p w:rsidR="00A83EAF" w:rsidRDefault="00A83EAF" w:rsidP="00A83EAF">
      <w:pPr>
        <w:spacing w:after="0" w:line="240" w:lineRule="auto"/>
        <w:jc w:val="both"/>
        <w:rPr>
          <w:rFonts w:ascii="Times New Roman" w:hAnsi="Times New Roman"/>
          <w:i/>
          <w:sz w:val="24"/>
          <w:szCs w:val="28"/>
        </w:rPr>
      </w:pPr>
      <w:r>
        <w:rPr>
          <w:rFonts w:ascii="Times New Roman" w:hAnsi="Times New Roman"/>
          <w:b/>
          <w:i/>
          <w:sz w:val="24"/>
          <w:szCs w:val="28"/>
        </w:rPr>
        <w:t>Здатність впливати на швидкість реакції при керуванні автотранспортом або іншими механізмами</w:t>
      </w:r>
    </w:p>
    <w:p w:rsidR="00A83EAF" w:rsidRDefault="00A83EAF" w:rsidP="00A83EAF">
      <w:pPr>
        <w:pStyle w:val="a4"/>
        <w:shd w:val="clear" w:color="auto" w:fill="FFFFFF"/>
        <w:spacing w:after="0"/>
        <w:ind w:left="0"/>
        <w:jc w:val="both"/>
      </w:pPr>
      <w:r>
        <w:t xml:space="preserve">Лікарський засіб має незначний вплив на здатність керувати транспортними засобами та працювати з механізмами. Під час керування транспортними засобами або роботи з механізмами слід враховувати, що при застосуванні </w:t>
      </w:r>
      <w:proofErr w:type="spellStart"/>
      <w:r>
        <w:t>бемпедоєвої</w:t>
      </w:r>
      <w:proofErr w:type="spellEnd"/>
      <w:r>
        <w:t xml:space="preserve"> кислоти та </w:t>
      </w:r>
      <w:proofErr w:type="spellStart"/>
      <w:r>
        <w:t>езетимібу</w:t>
      </w:r>
      <w:proofErr w:type="spellEnd"/>
      <w:r>
        <w:t xml:space="preserve"> повідомлялося про запаморочення (див. розділ «Побічні реакції»).</w:t>
      </w:r>
    </w:p>
    <w:p w:rsidR="00A83EAF" w:rsidRDefault="00A83EAF" w:rsidP="00A83EAF">
      <w:pPr>
        <w:widowControl w:val="0"/>
        <w:spacing w:after="0" w:line="240" w:lineRule="auto"/>
        <w:rPr>
          <w:rFonts w:ascii="Times New Roman" w:hAnsi="Times New Roman"/>
          <w:i/>
          <w:sz w:val="24"/>
          <w:szCs w:val="20"/>
          <w:lang w:eastAsia="ru-RU"/>
        </w:rPr>
      </w:pPr>
    </w:p>
    <w:p w:rsidR="00A83EAF" w:rsidRDefault="00A83EAF" w:rsidP="00A83EAF">
      <w:pPr>
        <w:widowControl w:val="0"/>
        <w:spacing w:after="0" w:line="240" w:lineRule="auto"/>
        <w:rPr>
          <w:rFonts w:ascii="Times New Roman" w:hAnsi="Times New Roman"/>
          <w:b/>
          <w:i/>
          <w:sz w:val="24"/>
          <w:szCs w:val="20"/>
        </w:rPr>
      </w:pPr>
      <w:r>
        <w:rPr>
          <w:rFonts w:ascii="Times New Roman" w:hAnsi="Times New Roman"/>
          <w:b/>
          <w:i/>
          <w:sz w:val="24"/>
          <w:szCs w:val="20"/>
        </w:rPr>
        <w:lastRenderedPageBreak/>
        <w:t>Спосіб застосування та дози</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u w:val="single"/>
        </w:rPr>
        <w:t>Спосіб застосування</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Кожну таблетку, вкриту плівковою оболонкою, слід приймати </w:t>
      </w:r>
      <w:proofErr w:type="spellStart"/>
      <w:r>
        <w:rPr>
          <w:rFonts w:ascii="Times New Roman" w:hAnsi="Times New Roman"/>
          <w:sz w:val="24"/>
          <w:szCs w:val="24"/>
        </w:rPr>
        <w:t>перорально</w:t>
      </w:r>
      <w:proofErr w:type="spellEnd"/>
      <w:r>
        <w:rPr>
          <w:rFonts w:ascii="Times New Roman" w:hAnsi="Times New Roman"/>
          <w:sz w:val="24"/>
          <w:szCs w:val="24"/>
        </w:rPr>
        <w:t>, незалежно від їжі. Таблетку слід ковтати цілою.</w:t>
      </w:r>
    </w:p>
    <w:p w:rsidR="00A83EAF" w:rsidRDefault="00A83EAF" w:rsidP="00A83EAF">
      <w:pPr>
        <w:shd w:val="clear" w:color="auto" w:fill="FFFFFF"/>
        <w:spacing w:after="0" w:line="240" w:lineRule="auto"/>
        <w:jc w:val="both"/>
        <w:rPr>
          <w:rFonts w:ascii="Times New Roman" w:hAnsi="Times New Roman"/>
          <w:sz w:val="24"/>
          <w:szCs w:val="24"/>
          <w:u w:val="single"/>
        </w:rPr>
      </w:pPr>
      <w:r>
        <w:rPr>
          <w:rFonts w:ascii="Times New Roman" w:hAnsi="Times New Roman"/>
          <w:sz w:val="24"/>
          <w:szCs w:val="24"/>
          <w:u w:val="single"/>
        </w:rPr>
        <w:t>Дозування</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Рекомендована доза лікарського засобу становить 1 таблетку, вкриту плівковою оболонкою, 180 мг/10 </w:t>
      </w:r>
      <w:proofErr w:type="spellStart"/>
      <w:r>
        <w:rPr>
          <w:rFonts w:ascii="Times New Roman" w:hAnsi="Times New Roman"/>
          <w:sz w:val="24"/>
          <w:szCs w:val="24"/>
        </w:rPr>
        <w:t>мг</w:t>
      </w:r>
      <w:proofErr w:type="spellEnd"/>
      <w:r>
        <w:rPr>
          <w:rFonts w:ascii="Times New Roman" w:hAnsi="Times New Roman"/>
          <w:sz w:val="24"/>
          <w:szCs w:val="24"/>
        </w:rPr>
        <w:t>, яку слід приймати 1 раз на добу.</w:t>
      </w:r>
    </w:p>
    <w:p w:rsidR="00A83EAF" w:rsidRDefault="00A83EAF" w:rsidP="00A83EAF">
      <w:pPr>
        <w:pStyle w:val="smpc-subtitle"/>
        <w:shd w:val="clear" w:color="auto" w:fill="FFFFFF"/>
        <w:spacing w:before="0" w:beforeAutospacing="0" w:after="0" w:afterAutospacing="0"/>
        <w:jc w:val="both"/>
        <w:rPr>
          <w:i/>
        </w:rPr>
      </w:pPr>
      <w:r>
        <w:rPr>
          <w:i/>
        </w:rPr>
        <w:t xml:space="preserve">Супутнє застосування із </w:t>
      </w:r>
      <w:proofErr w:type="spellStart"/>
      <w:r>
        <w:rPr>
          <w:i/>
        </w:rPr>
        <w:t>секвестрантами</w:t>
      </w:r>
      <w:proofErr w:type="spellEnd"/>
      <w:r>
        <w:rPr>
          <w:i/>
        </w:rPr>
        <w:t xml:space="preserve"> жовчних кислот</w:t>
      </w:r>
    </w:p>
    <w:p w:rsidR="00A83EAF" w:rsidRDefault="00A83EAF" w:rsidP="00A83EAF">
      <w:pPr>
        <w:pStyle w:val="smpc-subtitle"/>
        <w:shd w:val="clear" w:color="auto" w:fill="FFFFFF"/>
        <w:spacing w:before="0" w:beforeAutospacing="0" w:after="0" w:afterAutospacing="0"/>
        <w:jc w:val="both"/>
      </w:pPr>
      <w:r>
        <w:t xml:space="preserve">Дозу лікарського засобу слід приймати щонайменше за 2 години до або щонайменше через 4 години після введення </w:t>
      </w:r>
      <w:proofErr w:type="spellStart"/>
      <w:r>
        <w:t>секвестранту</w:t>
      </w:r>
      <w:proofErr w:type="spellEnd"/>
      <w:r>
        <w:t xml:space="preserve"> жовчних кислот.</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i/>
          <w:iCs/>
          <w:sz w:val="24"/>
          <w:szCs w:val="24"/>
        </w:rPr>
        <w:t xml:space="preserve">Супутня терапія </w:t>
      </w:r>
      <w:proofErr w:type="spellStart"/>
      <w:r>
        <w:rPr>
          <w:rFonts w:ascii="Times New Roman" w:hAnsi="Times New Roman"/>
          <w:i/>
          <w:iCs/>
          <w:sz w:val="24"/>
          <w:szCs w:val="24"/>
        </w:rPr>
        <w:t>симвастатином</w:t>
      </w:r>
      <w:proofErr w:type="spellEnd"/>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При одночасному застосуванні лікарського засобу та </w:t>
      </w:r>
      <w:proofErr w:type="spellStart"/>
      <w:r>
        <w:rPr>
          <w:rFonts w:ascii="Times New Roman" w:hAnsi="Times New Roman"/>
          <w:sz w:val="24"/>
          <w:szCs w:val="24"/>
        </w:rPr>
        <w:t>симвастатину</w:t>
      </w:r>
      <w:proofErr w:type="spellEnd"/>
      <w:r>
        <w:rPr>
          <w:rFonts w:ascii="Times New Roman" w:hAnsi="Times New Roman"/>
          <w:sz w:val="24"/>
          <w:szCs w:val="24"/>
        </w:rPr>
        <w:t xml:space="preserve"> дозу </w:t>
      </w:r>
      <w:proofErr w:type="spellStart"/>
      <w:r>
        <w:rPr>
          <w:rFonts w:ascii="Times New Roman" w:hAnsi="Times New Roman"/>
          <w:sz w:val="24"/>
          <w:szCs w:val="24"/>
        </w:rPr>
        <w:t>симвастатину</w:t>
      </w:r>
      <w:proofErr w:type="spellEnd"/>
      <w:r>
        <w:rPr>
          <w:rFonts w:ascii="Times New Roman" w:hAnsi="Times New Roman"/>
          <w:sz w:val="24"/>
          <w:szCs w:val="24"/>
        </w:rPr>
        <w:t xml:space="preserve"> слід обмежити до 20 мг на добу (або 40 мг на добу для пацієнтів з тяжкою </w:t>
      </w:r>
      <w:proofErr w:type="spellStart"/>
      <w:r>
        <w:rPr>
          <w:rFonts w:ascii="Times New Roman" w:hAnsi="Times New Roman"/>
          <w:sz w:val="24"/>
          <w:szCs w:val="24"/>
        </w:rPr>
        <w:t>гіперхолестеринемією</w:t>
      </w:r>
      <w:proofErr w:type="spellEnd"/>
      <w:r>
        <w:rPr>
          <w:rFonts w:ascii="Times New Roman" w:hAnsi="Times New Roman"/>
          <w:sz w:val="24"/>
          <w:szCs w:val="24"/>
        </w:rPr>
        <w:t xml:space="preserve"> та високим ризиком серцево-судинних ускладнень, які не досягли своєї мети лікування при нижчих дозах, і коли очікується, що користь переважатиме потенційні ризики) (див. розділи «Особливості застосування» і «Взаємодія з іншими лікарськими засобами та інші види взаємодій»).</w:t>
      </w:r>
    </w:p>
    <w:p w:rsidR="00A83EAF" w:rsidRDefault="00A83EAF" w:rsidP="00A83EAF">
      <w:pPr>
        <w:shd w:val="clear" w:color="auto" w:fill="FFFFFF"/>
        <w:spacing w:after="0" w:line="240" w:lineRule="auto"/>
        <w:jc w:val="both"/>
        <w:rPr>
          <w:rFonts w:ascii="Times New Roman" w:hAnsi="Times New Roman"/>
          <w:sz w:val="24"/>
          <w:szCs w:val="24"/>
          <w:u w:val="single"/>
        </w:rPr>
      </w:pPr>
      <w:r>
        <w:rPr>
          <w:rFonts w:ascii="Times New Roman" w:hAnsi="Times New Roman"/>
          <w:sz w:val="24"/>
          <w:szCs w:val="24"/>
          <w:u w:val="single"/>
        </w:rPr>
        <w:t>Особливі групи пацієнтів</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i/>
          <w:iCs/>
          <w:sz w:val="24"/>
          <w:szCs w:val="24"/>
        </w:rPr>
        <w:t>Пацієнти літнього віку</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Коригування дози для пацієнтів літнього віку не потрібне (див. розділ «Фармакокінетика»).</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i/>
          <w:iCs/>
          <w:sz w:val="24"/>
          <w:szCs w:val="24"/>
        </w:rPr>
        <w:t>Пацієнти з нирковою недостатністю</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Пацієнтам з легким або помірним порушенням функції нирок корекція дози не потрібна. Дані щодо пацієнтів з тяжким порушенням функції нирок (визначеним як розрахункова швидкість </w:t>
      </w:r>
      <w:proofErr w:type="spellStart"/>
      <w:r>
        <w:rPr>
          <w:rFonts w:ascii="Times New Roman" w:hAnsi="Times New Roman"/>
          <w:sz w:val="24"/>
          <w:szCs w:val="24"/>
        </w:rPr>
        <w:t>клубочкової</w:t>
      </w:r>
      <w:proofErr w:type="spellEnd"/>
      <w:r>
        <w:rPr>
          <w:rFonts w:ascii="Times New Roman" w:hAnsi="Times New Roman"/>
          <w:sz w:val="24"/>
          <w:szCs w:val="24"/>
        </w:rPr>
        <w:t xml:space="preserve"> фільтрації [</w:t>
      </w:r>
      <w:proofErr w:type="spellStart"/>
      <w:r>
        <w:rPr>
          <w:rFonts w:ascii="Times New Roman" w:hAnsi="Times New Roman"/>
          <w:sz w:val="24"/>
          <w:szCs w:val="24"/>
        </w:rPr>
        <w:t>рШКФ</w:t>
      </w:r>
      <w:proofErr w:type="spellEnd"/>
      <w:r>
        <w:rPr>
          <w:rFonts w:ascii="Times New Roman" w:hAnsi="Times New Roman"/>
          <w:sz w:val="24"/>
          <w:szCs w:val="24"/>
        </w:rPr>
        <w:t xml:space="preserve">] &lt;30 </w:t>
      </w:r>
      <w:proofErr w:type="spellStart"/>
      <w:r>
        <w:rPr>
          <w:rFonts w:ascii="Times New Roman" w:hAnsi="Times New Roman"/>
          <w:sz w:val="24"/>
          <w:szCs w:val="24"/>
        </w:rPr>
        <w:t>мл</w:t>
      </w:r>
      <w:proofErr w:type="spellEnd"/>
      <w:r>
        <w:rPr>
          <w:rFonts w:ascii="Times New Roman" w:hAnsi="Times New Roman"/>
          <w:sz w:val="24"/>
          <w:szCs w:val="24"/>
        </w:rPr>
        <w:t>/</w:t>
      </w:r>
      <w:proofErr w:type="spellStart"/>
      <w:r>
        <w:rPr>
          <w:rFonts w:ascii="Times New Roman" w:hAnsi="Times New Roman"/>
          <w:sz w:val="24"/>
          <w:szCs w:val="24"/>
        </w:rPr>
        <w:t>хв</w:t>
      </w:r>
      <w:proofErr w:type="spellEnd"/>
      <w:r>
        <w:rPr>
          <w:rFonts w:ascii="Times New Roman" w:hAnsi="Times New Roman"/>
          <w:sz w:val="24"/>
          <w:szCs w:val="24"/>
        </w:rPr>
        <w:t>/1,73 м²) обмежені, а пацієнти з термінальною стадією ниркової недостатності, що перебувають на діалізі, не досліджувалися. Для таких пацієнтів може знадобитися додатковий моніторинг щодо побічних реакцій при застосуванні лікарського засобу (див. розділ «Особливості застосування»).</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i/>
          <w:iCs/>
          <w:sz w:val="24"/>
          <w:szCs w:val="24"/>
        </w:rPr>
        <w:t>Пацієнти з печінковою недостатністю</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Пацієнтам з легким або помірним порушенням функції печінки (шкала </w:t>
      </w:r>
      <w:proofErr w:type="spellStart"/>
      <w:r>
        <w:rPr>
          <w:rFonts w:ascii="Times New Roman" w:hAnsi="Times New Roman"/>
          <w:sz w:val="24"/>
          <w:szCs w:val="24"/>
        </w:rPr>
        <w:t>Чайлда-П’ю</w:t>
      </w:r>
      <w:proofErr w:type="spellEnd"/>
      <w:r>
        <w:rPr>
          <w:rFonts w:ascii="Times New Roman" w:hAnsi="Times New Roman"/>
          <w:sz w:val="24"/>
          <w:szCs w:val="24"/>
        </w:rPr>
        <w:t xml:space="preserve"> A або B) корекція дози не потрібна. Дані щодо пацієнтів з тяжким порушенням функції печінки відсутні. Пацієнтам з тяжким порушенням функції печінки слід періодично проводити визначення печінкових проб (див. розділ «Особливості застосування»).</w:t>
      </w:r>
    </w:p>
    <w:p w:rsidR="00A83EAF" w:rsidRDefault="00A83EAF" w:rsidP="00A83EAF">
      <w:pPr>
        <w:spacing w:after="0" w:line="240" w:lineRule="auto"/>
        <w:rPr>
          <w:rFonts w:ascii="Times New Roman" w:hAnsi="Times New Roman"/>
          <w:sz w:val="24"/>
          <w:szCs w:val="28"/>
        </w:rPr>
      </w:pPr>
    </w:p>
    <w:p w:rsidR="00A83EAF" w:rsidRDefault="00A83EAF" w:rsidP="00A83EAF">
      <w:pPr>
        <w:spacing w:after="0" w:line="240" w:lineRule="auto"/>
        <w:rPr>
          <w:rFonts w:ascii="Times New Roman" w:hAnsi="Times New Roman"/>
          <w:b/>
          <w:sz w:val="24"/>
          <w:szCs w:val="28"/>
        </w:rPr>
      </w:pPr>
      <w:r>
        <w:rPr>
          <w:rFonts w:ascii="Times New Roman" w:hAnsi="Times New Roman"/>
          <w:b/>
          <w:i/>
          <w:sz w:val="24"/>
          <w:szCs w:val="28"/>
        </w:rPr>
        <w:t>Діти</w:t>
      </w: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Безпека та ефективність лікарського засобу для застосування у дітей віком до 18 років ще не встановлені. Дані відсутні.</w:t>
      </w:r>
    </w:p>
    <w:p w:rsidR="00A83EAF" w:rsidRDefault="00A83EAF" w:rsidP="00A83EAF">
      <w:pPr>
        <w:spacing w:after="0" w:line="240" w:lineRule="auto"/>
        <w:rPr>
          <w:rFonts w:ascii="Times New Roman" w:hAnsi="Times New Roman"/>
          <w:sz w:val="24"/>
          <w:szCs w:val="28"/>
          <w:lang w:eastAsia="ru-RU"/>
        </w:rPr>
      </w:pPr>
    </w:p>
    <w:p w:rsidR="00A83EAF" w:rsidRDefault="00A83EAF" w:rsidP="00A83EAF">
      <w:pPr>
        <w:spacing w:after="0" w:line="240" w:lineRule="auto"/>
        <w:rPr>
          <w:rFonts w:ascii="Times New Roman" w:hAnsi="Times New Roman"/>
          <w:b/>
          <w:i/>
          <w:sz w:val="24"/>
          <w:szCs w:val="28"/>
        </w:rPr>
      </w:pPr>
      <w:r>
        <w:rPr>
          <w:rFonts w:ascii="Times New Roman" w:hAnsi="Times New Roman"/>
          <w:b/>
          <w:i/>
          <w:sz w:val="24"/>
          <w:szCs w:val="28"/>
        </w:rPr>
        <w:t>Передозування</w:t>
      </w:r>
    </w:p>
    <w:p w:rsidR="00A83EAF" w:rsidRDefault="00A83EAF" w:rsidP="00A83EAF">
      <w:pPr>
        <w:pStyle w:val="a4"/>
        <w:shd w:val="clear" w:color="auto" w:fill="FFFFFF"/>
        <w:spacing w:after="0"/>
        <w:ind w:left="0"/>
        <w:jc w:val="both"/>
      </w:pPr>
      <w:r>
        <w:t>У разі передозування пацієнту слід проводити симптоматичне лікування та за потреби вживати підтримувальних заходів.</w:t>
      </w:r>
    </w:p>
    <w:p w:rsidR="00A83EAF" w:rsidRDefault="00A83EAF" w:rsidP="00A83EAF">
      <w:pPr>
        <w:pStyle w:val="a4"/>
        <w:shd w:val="clear" w:color="auto" w:fill="FFFFFF"/>
        <w:spacing w:after="0"/>
        <w:ind w:left="0"/>
        <w:jc w:val="both"/>
      </w:pPr>
      <w:proofErr w:type="spellStart"/>
      <w:r>
        <w:rPr>
          <w:i/>
          <w:iCs/>
        </w:rPr>
        <w:t>Бемпедоєва</w:t>
      </w:r>
      <w:proofErr w:type="spellEnd"/>
      <w:r>
        <w:rPr>
          <w:i/>
          <w:iCs/>
        </w:rPr>
        <w:t xml:space="preserve"> кислота</w:t>
      </w:r>
    </w:p>
    <w:p w:rsidR="00A83EAF" w:rsidRDefault="00A83EAF" w:rsidP="00A83EAF">
      <w:pPr>
        <w:pStyle w:val="a4"/>
        <w:shd w:val="clear" w:color="auto" w:fill="FFFFFF"/>
        <w:spacing w:after="0"/>
        <w:ind w:left="0"/>
        <w:jc w:val="both"/>
      </w:pPr>
      <w:r>
        <w:t xml:space="preserve">У клінічних випробуваннях застосовували дози до 240 мг/добу (що в 1,3 </w:t>
      </w:r>
      <w:proofErr w:type="spellStart"/>
      <w:r>
        <w:t>раза</w:t>
      </w:r>
      <w:proofErr w:type="spellEnd"/>
      <w:r>
        <w:t xml:space="preserve"> перевищує затверджену рекомендовану дозу) без ознак токсичності. У дослідженнях на тваринах при експозиції, що до 14 разів перевищувала експозицію у пацієнтів, які отримували </w:t>
      </w:r>
      <w:proofErr w:type="spellStart"/>
      <w:r>
        <w:t>бемпедоєву</w:t>
      </w:r>
      <w:proofErr w:type="spellEnd"/>
      <w:r>
        <w:t xml:space="preserve"> кислоту в дозі 180 мг 1 раз на добу, побічних ефектів не спостерігалося. </w:t>
      </w:r>
      <w:proofErr w:type="spellStart"/>
      <w:r>
        <w:rPr>
          <w:i/>
          <w:iCs/>
        </w:rPr>
        <w:t>Езетиміб</w:t>
      </w:r>
      <w:proofErr w:type="spellEnd"/>
    </w:p>
    <w:p w:rsidR="00A83EAF" w:rsidRDefault="00A83EAF" w:rsidP="00A83EAF">
      <w:pPr>
        <w:pStyle w:val="a4"/>
        <w:shd w:val="clear" w:color="auto" w:fill="FFFFFF"/>
        <w:spacing w:after="0"/>
        <w:ind w:left="0"/>
        <w:jc w:val="both"/>
      </w:pPr>
      <w:r>
        <w:t xml:space="preserve">У клінічних дослідженнях застосування </w:t>
      </w:r>
      <w:proofErr w:type="spellStart"/>
      <w:r>
        <w:t>езетимібу</w:t>
      </w:r>
      <w:proofErr w:type="spellEnd"/>
      <w:r>
        <w:t xml:space="preserve"> в дозі 50 мг/добу 15 здоровим особам протягом до 14 днів або 40 мг/добу 18 пацієнтам з первинною </w:t>
      </w:r>
      <w:proofErr w:type="spellStart"/>
      <w:r>
        <w:t>гіперхолестеринемією</w:t>
      </w:r>
      <w:proofErr w:type="spellEnd"/>
      <w:r>
        <w:t xml:space="preserve"> протягом до 56 днів не призвело до збільшення частоти побічних ефектів. У тварин токсичності не спостерігалося після одноразового перорального застосування </w:t>
      </w:r>
      <w:proofErr w:type="spellStart"/>
      <w:r>
        <w:t>езетимібу</w:t>
      </w:r>
      <w:proofErr w:type="spellEnd"/>
      <w:r>
        <w:t xml:space="preserve"> в дозі 5000 мг/кг щурам та мишам і 3000 мг/кг собакам.</w:t>
      </w:r>
    </w:p>
    <w:p w:rsidR="00A83EAF" w:rsidRDefault="00A83EAF" w:rsidP="00A83EAF">
      <w:pPr>
        <w:spacing w:after="0" w:line="240" w:lineRule="auto"/>
        <w:rPr>
          <w:rFonts w:ascii="Times New Roman" w:hAnsi="Times New Roman"/>
          <w:sz w:val="24"/>
          <w:szCs w:val="28"/>
          <w:lang w:eastAsia="ru-RU"/>
        </w:rPr>
      </w:pPr>
    </w:p>
    <w:p w:rsidR="00A83EAF" w:rsidRDefault="00A83EAF" w:rsidP="00A83EAF">
      <w:pPr>
        <w:spacing w:after="0" w:line="240" w:lineRule="auto"/>
        <w:rPr>
          <w:rFonts w:ascii="Times New Roman" w:hAnsi="Times New Roman"/>
          <w:b/>
          <w:i/>
          <w:sz w:val="24"/>
          <w:szCs w:val="28"/>
        </w:rPr>
      </w:pPr>
      <w:r>
        <w:rPr>
          <w:rFonts w:ascii="Times New Roman" w:hAnsi="Times New Roman"/>
          <w:b/>
          <w:i/>
          <w:sz w:val="24"/>
          <w:szCs w:val="28"/>
        </w:rPr>
        <w:t>Побічні реакції</w:t>
      </w:r>
    </w:p>
    <w:p w:rsidR="00A83EAF" w:rsidRDefault="00A83EAF" w:rsidP="00A83EAF">
      <w:pPr>
        <w:shd w:val="clear" w:color="auto" w:fill="FFFFFF"/>
        <w:spacing w:after="0" w:line="240" w:lineRule="auto"/>
        <w:jc w:val="both"/>
        <w:rPr>
          <w:rFonts w:ascii="Times New Roman" w:hAnsi="Times New Roman"/>
          <w:sz w:val="24"/>
          <w:szCs w:val="24"/>
          <w:u w:val="single"/>
        </w:rPr>
      </w:pPr>
      <w:r>
        <w:rPr>
          <w:rFonts w:ascii="Times New Roman" w:hAnsi="Times New Roman"/>
          <w:sz w:val="24"/>
          <w:szCs w:val="24"/>
          <w:u w:val="single"/>
        </w:rPr>
        <w:t>Короткий опис профілю безпеки</w:t>
      </w:r>
    </w:p>
    <w:p w:rsidR="00A83EAF" w:rsidRDefault="00A83EAF" w:rsidP="00A83EAF">
      <w:pPr>
        <w:pStyle w:val="a4"/>
        <w:shd w:val="clear" w:color="auto" w:fill="FFFFFF"/>
        <w:spacing w:after="0"/>
        <w:ind w:left="0"/>
        <w:jc w:val="both"/>
      </w:pPr>
      <w:r>
        <w:t xml:space="preserve">Найчастіше повідомлялося про побічні реакції при застосуванні лікарського засобу, зокрема </w:t>
      </w:r>
      <w:proofErr w:type="spellStart"/>
      <w:r>
        <w:t>гіперурикемія</w:t>
      </w:r>
      <w:proofErr w:type="spellEnd"/>
      <w:r>
        <w:t xml:space="preserve"> (4,7 %) та запор (4,7 %).</w:t>
      </w:r>
    </w:p>
    <w:p w:rsidR="00A83EAF" w:rsidRDefault="00A83EAF" w:rsidP="00A83EAF">
      <w:pPr>
        <w:pStyle w:val="a4"/>
        <w:shd w:val="clear" w:color="auto" w:fill="FFFFFF"/>
        <w:spacing w:after="0"/>
        <w:ind w:left="0"/>
        <w:jc w:val="both"/>
      </w:pPr>
      <w:r>
        <w:t xml:space="preserve">У плацебо-контрольованих дослідженнях первинної </w:t>
      </w:r>
      <w:proofErr w:type="spellStart"/>
      <w:r>
        <w:t>гіперліпідемії</w:t>
      </w:r>
      <w:proofErr w:type="spellEnd"/>
      <w:r>
        <w:t xml:space="preserve"> фази 3 з </w:t>
      </w:r>
      <w:proofErr w:type="spellStart"/>
      <w:r>
        <w:t>бемпедоєвою</w:t>
      </w:r>
      <w:proofErr w:type="spellEnd"/>
      <w:r>
        <w:t xml:space="preserve"> кислотою більше пацієнтів, які отримували </w:t>
      </w:r>
      <w:proofErr w:type="spellStart"/>
      <w:r>
        <w:t>бемпедоєву</w:t>
      </w:r>
      <w:proofErr w:type="spellEnd"/>
      <w:r>
        <w:t xml:space="preserve"> кислоту, порівняно з плацебо, припинили лікування через м'язові спазми (0,7 % проти 0,3 %), діарею (0,5 % проти &lt;0,1 %), розрив сухожилля (0,5 % проти 0 %), біль у кінцівках (0,4 % проти 0) та нудоту (0,3 % проти 0,2 %), хоча різниця між </w:t>
      </w:r>
      <w:proofErr w:type="spellStart"/>
      <w:r>
        <w:t>бемпедоєвою</w:t>
      </w:r>
      <w:proofErr w:type="spellEnd"/>
      <w:r>
        <w:t xml:space="preserve"> кислотою та плацебо не була суттєвою.</w:t>
      </w:r>
    </w:p>
    <w:p w:rsidR="00A83EAF" w:rsidRDefault="00A83EAF" w:rsidP="00A83EAF">
      <w:pPr>
        <w:pStyle w:val="a4"/>
        <w:shd w:val="clear" w:color="auto" w:fill="FFFFFF"/>
        <w:spacing w:after="0"/>
        <w:ind w:left="0"/>
        <w:jc w:val="both"/>
      </w:pPr>
      <w:r>
        <w:t xml:space="preserve">Серйозними побічними реакціями, про які повідомлялося при застосуванні </w:t>
      </w:r>
      <w:proofErr w:type="spellStart"/>
      <w:r>
        <w:t>езетимібу</w:t>
      </w:r>
      <w:proofErr w:type="spellEnd"/>
      <w:r>
        <w:t xml:space="preserve">, були міопатія, </w:t>
      </w:r>
      <w:proofErr w:type="spellStart"/>
      <w:r>
        <w:t>рабдоміоліз</w:t>
      </w:r>
      <w:proofErr w:type="spellEnd"/>
      <w:r>
        <w:t xml:space="preserve">, гепатит, </w:t>
      </w:r>
      <w:proofErr w:type="spellStart"/>
      <w:r>
        <w:t>гіперчутливість</w:t>
      </w:r>
      <w:proofErr w:type="spellEnd"/>
      <w:r>
        <w:t xml:space="preserve">, анафілаксія, </w:t>
      </w:r>
      <w:proofErr w:type="spellStart"/>
      <w:r>
        <w:t>ангіоневротичний</w:t>
      </w:r>
      <w:proofErr w:type="spellEnd"/>
      <w:r>
        <w:t xml:space="preserve"> набряк, </w:t>
      </w:r>
      <w:proofErr w:type="spellStart"/>
      <w:r>
        <w:t>багатоформна</w:t>
      </w:r>
      <w:proofErr w:type="spellEnd"/>
      <w:r>
        <w:t xml:space="preserve"> еритема, </w:t>
      </w:r>
      <w:proofErr w:type="spellStart"/>
      <w:r>
        <w:t>жовчокам'яна</w:t>
      </w:r>
      <w:proofErr w:type="spellEnd"/>
      <w:r>
        <w:t xml:space="preserve"> хвороба, холецистит, панкреатит та </w:t>
      </w:r>
      <w:proofErr w:type="spellStart"/>
      <w:r>
        <w:t>тромбоцитопенія</w:t>
      </w:r>
      <w:proofErr w:type="spellEnd"/>
      <w:r>
        <w:t>.</w:t>
      </w:r>
    </w:p>
    <w:p w:rsidR="00A83EAF" w:rsidRDefault="00A83EAF" w:rsidP="00A83EAF">
      <w:pPr>
        <w:shd w:val="clear" w:color="auto" w:fill="FFFFFF"/>
        <w:spacing w:after="0" w:line="240" w:lineRule="auto"/>
        <w:jc w:val="both"/>
        <w:rPr>
          <w:rFonts w:ascii="Times New Roman" w:hAnsi="Times New Roman"/>
          <w:i/>
          <w:sz w:val="24"/>
          <w:szCs w:val="24"/>
        </w:rPr>
      </w:pPr>
      <w:r>
        <w:rPr>
          <w:rFonts w:ascii="Times New Roman" w:hAnsi="Times New Roman"/>
          <w:i/>
          <w:sz w:val="24"/>
          <w:szCs w:val="24"/>
        </w:rPr>
        <w:t>Табличний перелік побічних реакцій</w:t>
      </w:r>
    </w:p>
    <w:p w:rsidR="00A83EAF" w:rsidRDefault="00A83EAF" w:rsidP="00A83EAF">
      <w:pPr>
        <w:pStyle w:val="a4"/>
        <w:shd w:val="clear" w:color="auto" w:fill="FFFFFF"/>
        <w:spacing w:after="0"/>
        <w:ind w:left="0"/>
        <w:jc w:val="both"/>
      </w:pPr>
      <w:r>
        <w:t xml:space="preserve">Побічні реакції, про які повідомлялося при застосуванні лікарського засобу на основі показників захворюваності, отриманих у дослідженнях первинної </w:t>
      </w:r>
      <w:proofErr w:type="spellStart"/>
      <w:r>
        <w:t>гіперліпідемії</w:t>
      </w:r>
      <w:proofErr w:type="spellEnd"/>
      <w:r>
        <w:t xml:space="preserve"> фази 3 та скоригованих за експозицією показників захворюваності, отриманих у дослідженні CLEAR </w:t>
      </w:r>
      <w:proofErr w:type="spellStart"/>
      <w:r>
        <w:t>Outcomes</w:t>
      </w:r>
      <w:proofErr w:type="spellEnd"/>
      <w:r>
        <w:t xml:space="preserve"> або </w:t>
      </w:r>
      <w:proofErr w:type="spellStart"/>
      <w:r>
        <w:t>езетимібу</w:t>
      </w:r>
      <w:proofErr w:type="spellEnd"/>
      <w:r>
        <w:t xml:space="preserve"> для забезпечення більш повного профілю побічних реакцій лікарського засобу.</w:t>
      </w:r>
    </w:p>
    <w:p w:rsidR="00A83EAF" w:rsidRDefault="00A83EAF" w:rsidP="00A83EAF">
      <w:pPr>
        <w:shd w:val="clear" w:color="auto" w:fill="FFFFFF"/>
        <w:spacing w:after="0" w:line="240" w:lineRule="auto"/>
        <w:jc w:val="both"/>
        <w:rPr>
          <w:rFonts w:ascii="Times New Roman" w:hAnsi="Times New Roman"/>
          <w:sz w:val="24"/>
          <w:szCs w:val="24"/>
          <w:lang w:eastAsia="ru-RU"/>
        </w:rPr>
      </w:pPr>
      <w:r>
        <w:rPr>
          <w:rFonts w:ascii="Times New Roman" w:hAnsi="Times New Roman"/>
          <w:sz w:val="24"/>
          <w:szCs w:val="24"/>
          <w:lang w:eastAsia="ru-RU"/>
        </w:rPr>
        <w:t>Всі побічні реакції зазначено за системою класів та органів та частотою</w:t>
      </w:r>
      <w:r>
        <w:rPr>
          <w:rFonts w:ascii="Times New Roman" w:hAnsi="Times New Roman"/>
          <w:spacing w:val="-6"/>
          <w:sz w:val="24"/>
          <w:szCs w:val="24"/>
          <w:lang w:eastAsia="ru-RU"/>
        </w:rPr>
        <w:t>: дуже часто (</w:t>
      </w:r>
      <w:r>
        <w:rPr>
          <w:rFonts w:ascii="Times New Roman" w:hAnsi="Times New Roman"/>
          <w:sz w:val="24"/>
          <w:szCs w:val="24"/>
          <w:lang w:eastAsia="ru-RU"/>
        </w:rPr>
        <w:t>≥1/10)</w:t>
      </w:r>
      <w:r>
        <w:rPr>
          <w:rFonts w:ascii="Times New Roman" w:hAnsi="Times New Roman"/>
          <w:spacing w:val="-6"/>
          <w:sz w:val="24"/>
          <w:szCs w:val="24"/>
          <w:lang w:eastAsia="ru-RU"/>
        </w:rPr>
        <w:t>, часто (≥1/100 –</w:t>
      </w:r>
      <w:r>
        <w:rPr>
          <w:rFonts w:ascii="Times New Roman" w:hAnsi="Times New Roman"/>
          <w:sz w:val="24"/>
          <w:szCs w:val="24"/>
          <w:lang w:eastAsia="ru-RU"/>
        </w:rPr>
        <w:t xml:space="preserve"> &lt;1/10), нечасто (≥1/1000 – &lt;1/100), рідко (≥1/10000 – &lt;1/1000), дуже рідко (&lt;1/10000), частота невідома (не можуть бути оцінені за наявними даними).</w:t>
      </w:r>
    </w:p>
    <w:p w:rsidR="00A83EAF" w:rsidRDefault="00A83EAF" w:rsidP="00A83EAF">
      <w:pPr>
        <w:shd w:val="clear" w:color="auto" w:fill="FFFFFF"/>
        <w:spacing w:after="0" w:line="240" w:lineRule="auto"/>
        <w:jc w:val="center"/>
        <w:rPr>
          <w:rFonts w:ascii="Times New Roman" w:hAnsi="Times New Roman"/>
          <w:sz w:val="24"/>
          <w:szCs w:val="24"/>
          <w:lang w:eastAsia="ru-RU"/>
        </w:rPr>
      </w:pPr>
      <w:r>
        <w:rPr>
          <w:rFonts w:ascii="Times New Roman" w:hAnsi="Times New Roman"/>
          <w:bCs/>
          <w:sz w:val="24"/>
          <w:szCs w:val="24"/>
        </w:rPr>
        <w:t>Побічні реакції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4"/>
        <w:gridCol w:w="5208"/>
        <w:gridCol w:w="1349"/>
      </w:tblGrid>
      <w:tr w:rsidR="00A83EAF" w:rsidTr="00641932">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bCs/>
              </w:rPr>
              <w:t>Клас системи органів (СОК)</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bCs/>
              </w:rPr>
              <w:t>Побічні реакції</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bCs/>
              </w:rPr>
              <w:t>Категорії частоти</w:t>
            </w:r>
          </w:p>
        </w:tc>
      </w:tr>
      <w:tr w:rsidR="00A83EAF" w:rsidTr="00641932">
        <w:tc>
          <w:tcPr>
            <w:tcW w:w="0" w:type="auto"/>
            <w:gridSpan w:val="3"/>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rPr>
                <w:bCs/>
              </w:rPr>
              <w:t>Побічні реакції при застосуванні лікарського засобу</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крові та лімфатичної системи</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Анемія, зниження гемоглобіну</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spacing w:val="-6"/>
              </w:rPr>
              <w:t>Часто</w:t>
            </w:r>
          </w:p>
        </w:tc>
      </w:tr>
      <w:tr w:rsidR="00A83EAF" w:rsidTr="00641932">
        <w:tc>
          <w:tcPr>
            <w:tcW w:w="0" w:type="auto"/>
            <w:vMerge w:val="restart"/>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iCs/>
              </w:rPr>
              <w:t>З боку обміну речовин, метаболізму</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Гіперурикемія </w:t>
            </w:r>
            <w:r>
              <w:rPr>
                <w:vertAlign w:val="superscript"/>
              </w:rPr>
              <w:t>а</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spacing w:val="-6"/>
              </w:rPr>
              <w:t>Часто</w:t>
            </w:r>
          </w:p>
        </w:tc>
      </w:tr>
      <w:tr w:rsidR="00A83EAF" w:rsidTr="00641932">
        <w:tc>
          <w:tcPr>
            <w:tcW w:w="0" w:type="auto"/>
            <w:vMerge/>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spacing w:after="0" w:line="240" w:lineRule="auto"/>
              <w:rPr>
                <w:rFonts w:ascii="Times New Roman" w:hAnsi="Times New Roman"/>
                <w:i/>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Зниження апетиту</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spacing w:val="-6"/>
              </w:rPr>
              <w:t>Часто</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iCs/>
              </w:rPr>
              <w:t xml:space="preserve">З боку </w:t>
            </w:r>
            <w:r>
              <w:rPr>
                <w:i/>
              </w:rPr>
              <w:t>нервової системи</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Запаморочення, головний біль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spacing w:val="-6"/>
              </w:rPr>
              <w:t>Часто</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Судинні розлади</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Гіпертонія</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spacing w:val="-6"/>
              </w:rPr>
              <w:t>Часто</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респіраторної системи, органів грудної клітки та середостіння</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Кашель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spacing w:val="-6"/>
              </w:rPr>
              <w:t>Часто</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шлунково-кишкового тракту:</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Запор, діарея, біль у животі, нудота, сухість у роті, метеоризм, гастрит</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spacing w:val="-6"/>
              </w:rPr>
              <w:t>Часто</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печінки і жовчовивідних шляхів</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Підвищені показники функції печінки </w:t>
            </w:r>
            <w:r>
              <w:rPr>
                <w:vertAlign w:val="superscript"/>
              </w:rPr>
              <w:t>b</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spacing w:val="-6"/>
              </w:rPr>
              <w:t>Часто</w:t>
            </w:r>
          </w:p>
        </w:tc>
      </w:tr>
      <w:tr w:rsidR="00A83EAF" w:rsidTr="00641932">
        <w:tc>
          <w:tcPr>
            <w:tcW w:w="0" w:type="auto"/>
            <w:vMerge w:val="restart"/>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опорно-рухової системи та сполучної тканини</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Біль у спині, м’язові спазми, </w:t>
            </w:r>
            <w:proofErr w:type="spellStart"/>
            <w:r>
              <w:t>міалгія</w:t>
            </w:r>
            <w:proofErr w:type="spellEnd"/>
            <w:r>
              <w:t>, біль у кінцівках, артралгія</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spacing w:val="-6"/>
              </w:rPr>
              <w:t>Часто</w:t>
            </w:r>
          </w:p>
        </w:tc>
      </w:tr>
      <w:tr w:rsidR="00A83EAF" w:rsidTr="00641932">
        <w:tc>
          <w:tcPr>
            <w:tcW w:w="0" w:type="auto"/>
            <w:vMerge/>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spacing w:after="0" w:line="240" w:lineRule="auto"/>
              <w:rPr>
                <w:rFonts w:ascii="Times New Roman" w:hAnsi="Times New Roman"/>
                <w:i/>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Розрив сухожилля*</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rPr>
                <w:spacing w:val="-6"/>
              </w:rPr>
            </w:pPr>
            <w:r>
              <w:t>Частота невідома</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нирок та сечовидільної системи</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Підвищений рівень </w:t>
            </w:r>
            <w:proofErr w:type="spellStart"/>
            <w:r>
              <w:t>креатиніну</w:t>
            </w:r>
            <w:proofErr w:type="spellEnd"/>
            <w:r>
              <w:t xml:space="preserve"> в крові</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spacing w:val="-6"/>
              </w:rPr>
              <w:t>Часто</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 xml:space="preserve">Загальні розлади та </w:t>
            </w:r>
            <w:r>
              <w:rPr>
                <w:i/>
              </w:rPr>
              <w:lastRenderedPageBreak/>
              <w:t>реакції у місці введення</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lastRenderedPageBreak/>
              <w:t>Втома, астенія</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spacing w:val="-6"/>
              </w:rPr>
              <w:t>Часто</w:t>
            </w:r>
          </w:p>
        </w:tc>
      </w:tr>
      <w:tr w:rsidR="00A83EAF" w:rsidTr="00641932">
        <w:tc>
          <w:tcPr>
            <w:tcW w:w="0" w:type="auto"/>
            <w:gridSpan w:val="3"/>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rPr>
                <w:bCs/>
              </w:rPr>
              <w:lastRenderedPageBreak/>
              <w:t xml:space="preserve">Додаткові побічні реакції, пов’язані з </w:t>
            </w:r>
            <w:proofErr w:type="spellStart"/>
            <w:r>
              <w:rPr>
                <w:bCs/>
              </w:rPr>
              <w:t>бемпедоєвою</w:t>
            </w:r>
            <w:proofErr w:type="spellEnd"/>
            <w:r>
              <w:rPr>
                <w:bCs/>
              </w:rPr>
              <w:t xml:space="preserve"> кислотою</w:t>
            </w:r>
          </w:p>
        </w:tc>
      </w:tr>
      <w:tr w:rsidR="00A83EAF" w:rsidTr="00641932">
        <w:tc>
          <w:tcPr>
            <w:tcW w:w="0" w:type="auto"/>
            <w:vMerge w:val="restart"/>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iCs/>
              </w:rPr>
              <w:t>З боку обміну речовин, метаболізму</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Подагра</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rPr>
                <w:spacing w:val="-6"/>
              </w:rPr>
              <w:t>Часто</w:t>
            </w:r>
          </w:p>
        </w:tc>
      </w:tr>
      <w:tr w:rsidR="00A83EAF" w:rsidTr="00641932">
        <w:tc>
          <w:tcPr>
            <w:tcW w:w="0" w:type="auto"/>
            <w:vMerge/>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spacing w:after="0" w:line="240" w:lineRule="auto"/>
              <w:rPr>
                <w:rFonts w:ascii="Times New Roman" w:hAnsi="Times New Roman"/>
                <w:i/>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Зменшення маси тіла </w:t>
            </w:r>
            <w:r>
              <w:rPr>
                <w:vertAlign w:val="superscript"/>
              </w:rPr>
              <w:t>d</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Нечасто</w:t>
            </w:r>
          </w:p>
        </w:tc>
      </w:tr>
      <w:tr w:rsidR="00A83EAF" w:rsidTr="00641932">
        <w:tc>
          <w:tcPr>
            <w:tcW w:w="0" w:type="auto"/>
            <w:vMerge w:val="restart"/>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печінки і жовчовивідних шляхів</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Підвищення </w:t>
            </w:r>
            <w:proofErr w:type="spellStart"/>
            <w:r>
              <w:t>аспартатамінотрансферази</w:t>
            </w:r>
            <w:proofErr w:type="spellEnd"/>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rPr>
                <w:spacing w:val="-6"/>
              </w:rPr>
              <w:t>Часто</w:t>
            </w:r>
          </w:p>
        </w:tc>
      </w:tr>
      <w:tr w:rsidR="00A83EAF" w:rsidTr="00641932">
        <w:tc>
          <w:tcPr>
            <w:tcW w:w="0" w:type="auto"/>
            <w:vMerge/>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spacing w:after="0" w:line="240" w:lineRule="auto"/>
              <w:rPr>
                <w:rFonts w:ascii="Times New Roman" w:hAnsi="Times New Roman"/>
                <w:i/>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Підвищення аланін-амінотрансферази</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Нечасто</w:t>
            </w:r>
          </w:p>
        </w:tc>
      </w:tr>
      <w:tr w:rsidR="00A83EAF" w:rsidTr="00641932">
        <w:tc>
          <w:tcPr>
            <w:tcW w:w="0" w:type="auto"/>
            <w:vMerge w:val="restart"/>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нирок та сечовидільної системи</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Зниження швидкості </w:t>
            </w:r>
            <w:proofErr w:type="spellStart"/>
            <w:r>
              <w:t>клубочкової</w:t>
            </w:r>
            <w:proofErr w:type="spellEnd"/>
            <w:r>
              <w:t xml:space="preserve"> фільтрації</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rPr>
                <w:spacing w:val="-6"/>
              </w:rPr>
              <w:t>Часто</w:t>
            </w:r>
          </w:p>
        </w:tc>
      </w:tr>
      <w:tr w:rsidR="00A83EAF" w:rsidTr="00641932">
        <w:tc>
          <w:tcPr>
            <w:tcW w:w="0" w:type="auto"/>
            <w:vMerge/>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spacing w:after="0" w:line="240" w:lineRule="auto"/>
              <w:rPr>
                <w:rFonts w:ascii="Times New Roman" w:hAnsi="Times New Roman"/>
                <w:i/>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Підвищення рівня сечовини в крові</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center"/>
            </w:pPr>
            <w:r>
              <w:t>Нечасто</w:t>
            </w:r>
          </w:p>
        </w:tc>
      </w:tr>
      <w:tr w:rsidR="00A83EAF" w:rsidTr="00641932">
        <w:tc>
          <w:tcPr>
            <w:tcW w:w="0" w:type="auto"/>
            <w:gridSpan w:val="3"/>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rPr>
                <w:bCs/>
              </w:rPr>
              <w:t xml:space="preserve">Додаткові побічні реакції при застосуванні </w:t>
            </w:r>
            <w:proofErr w:type="spellStart"/>
            <w:r>
              <w:rPr>
                <w:bCs/>
              </w:rPr>
              <w:t>езетимібу</w:t>
            </w:r>
            <w:proofErr w:type="spellEnd"/>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крові та лімфатичної системи</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proofErr w:type="spellStart"/>
            <w:r>
              <w:t>Тромбоцитопенія</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Невідомо</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імунної системи</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proofErr w:type="spellStart"/>
            <w:r>
              <w:t>Гіперчутливість</w:t>
            </w:r>
            <w:proofErr w:type="spellEnd"/>
            <w:r>
              <w:t xml:space="preserve">, включаючи висип, кропив’янку, анафілаксію та </w:t>
            </w:r>
            <w:proofErr w:type="spellStart"/>
            <w:r>
              <w:t>ангіоневротичний</w:t>
            </w:r>
            <w:proofErr w:type="spellEnd"/>
            <w:r>
              <w:t xml:space="preserve"> набряк</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Невідомо</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психіки</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Депресія</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Невідомо</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iCs/>
              </w:rPr>
              <w:t xml:space="preserve">З боку </w:t>
            </w:r>
            <w:r>
              <w:rPr>
                <w:i/>
              </w:rPr>
              <w:t>нервової системи</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Парестезія </w:t>
            </w:r>
            <w:r>
              <w:rPr>
                <w:vertAlign w:val="superscript"/>
              </w:rPr>
              <w:t>c</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Невідомо</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Судинні розлади</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Припливи</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Нечасто</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респіраторної системи, органів грудної клітки та середостіння</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Задишка</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Невідомо</w:t>
            </w:r>
          </w:p>
        </w:tc>
      </w:tr>
      <w:tr w:rsidR="00A83EAF" w:rsidTr="00641932">
        <w:tc>
          <w:tcPr>
            <w:tcW w:w="0" w:type="auto"/>
            <w:vMerge w:val="restart"/>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шлунково-кишкового тракту:</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Диспепсія, </w:t>
            </w:r>
            <w:proofErr w:type="spellStart"/>
            <w:r>
              <w:t>гастроезофагеальна</w:t>
            </w:r>
            <w:proofErr w:type="spellEnd"/>
            <w:r>
              <w:t xml:space="preserve"> </w:t>
            </w:r>
            <w:proofErr w:type="spellStart"/>
            <w:r>
              <w:t>рефлюксна</w:t>
            </w:r>
            <w:proofErr w:type="spellEnd"/>
            <w:r>
              <w:t xml:space="preserve"> хвороба</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Нечасто</w:t>
            </w:r>
          </w:p>
        </w:tc>
      </w:tr>
      <w:tr w:rsidR="00A83EAF" w:rsidTr="00641932">
        <w:tc>
          <w:tcPr>
            <w:tcW w:w="0" w:type="auto"/>
            <w:vMerge/>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spacing w:after="0" w:line="240" w:lineRule="auto"/>
              <w:rPr>
                <w:rFonts w:ascii="Times New Roman" w:hAnsi="Times New Roman"/>
                <w:i/>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Панкреатит</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Невідомо</w:t>
            </w:r>
          </w:p>
        </w:tc>
      </w:tr>
      <w:tr w:rsidR="00A83EAF" w:rsidTr="00641932">
        <w:tc>
          <w:tcPr>
            <w:tcW w:w="0" w:type="auto"/>
            <w:vMerge w:val="restart"/>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печінки і жовчовивідних шляхів</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Підвищення </w:t>
            </w:r>
            <w:proofErr w:type="spellStart"/>
            <w:r>
              <w:t>аспартатамінотрансферази</w:t>
            </w:r>
            <w:proofErr w:type="spellEnd"/>
            <w:r>
              <w:t xml:space="preserve"> (АСТ), підвищення аланін-амінотрансферази (АЛТ), підвищення </w:t>
            </w:r>
            <w:proofErr w:type="spellStart"/>
            <w:r>
              <w:t>гаммаглутамілтрансферази</w:t>
            </w:r>
            <w:proofErr w:type="spellEnd"/>
            <w:r>
              <w:t xml:space="preserve"> (ГГТ)</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Нечасто</w:t>
            </w:r>
          </w:p>
        </w:tc>
      </w:tr>
      <w:tr w:rsidR="00A83EAF" w:rsidTr="00641932">
        <w:tc>
          <w:tcPr>
            <w:tcW w:w="0" w:type="auto"/>
            <w:vMerge/>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spacing w:after="0" w:line="240" w:lineRule="auto"/>
              <w:rPr>
                <w:rFonts w:ascii="Times New Roman" w:hAnsi="Times New Roman"/>
                <w:i/>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Гепатит, </w:t>
            </w:r>
            <w:proofErr w:type="spellStart"/>
            <w:r>
              <w:t>жовчокам’яна</w:t>
            </w:r>
            <w:proofErr w:type="spellEnd"/>
            <w:r>
              <w:t xml:space="preserve"> хвороба, холецистит</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Невідомо</w:t>
            </w:r>
          </w:p>
        </w:tc>
      </w:tr>
      <w:tr w:rsidR="00A83EAF" w:rsidTr="00641932">
        <w:tc>
          <w:tcPr>
            <w:tcW w:w="0" w:type="auto"/>
            <w:vMerge w:val="restart"/>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шкіри та підшкірної клітковини</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Свербіж </w:t>
            </w:r>
            <w:r>
              <w:rPr>
                <w:vertAlign w:val="superscript"/>
              </w:rPr>
              <w:t>c</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Нечасто</w:t>
            </w:r>
          </w:p>
        </w:tc>
      </w:tr>
      <w:tr w:rsidR="00A83EAF" w:rsidTr="00641932">
        <w:tc>
          <w:tcPr>
            <w:tcW w:w="0" w:type="auto"/>
            <w:vMerge/>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spacing w:after="0" w:line="240" w:lineRule="auto"/>
              <w:rPr>
                <w:rFonts w:ascii="Times New Roman" w:hAnsi="Times New Roman"/>
                <w:i/>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proofErr w:type="spellStart"/>
            <w:r>
              <w:t>Мультиформна</w:t>
            </w:r>
            <w:proofErr w:type="spellEnd"/>
            <w:r>
              <w:t xml:space="preserve"> еритема</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Невідомо</w:t>
            </w:r>
          </w:p>
        </w:tc>
      </w:tr>
      <w:tr w:rsidR="00A83EAF" w:rsidTr="00641932">
        <w:tc>
          <w:tcPr>
            <w:tcW w:w="0" w:type="auto"/>
            <w:vMerge w:val="restart"/>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 боку опорно-рухової системи та сполучної тканини</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Підвищення рівня </w:t>
            </w:r>
            <w:proofErr w:type="spellStart"/>
            <w:r>
              <w:t>креатинфосфорного</w:t>
            </w:r>
            <w:proofErr w:type="spellEnd"/>
            <w:r>
              <w:t xml:space="preserve"> кисню (КФК) у крові</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rPr>
                <w:spacing w:val="-6"/>
              </w:rPr>
              <w:t>Часто</w:t>
            </w:r>
          </w:p>
        </w:tc>
      </w:tr>
      <w:tr w:rsidR="00A83EAF" w:rsidTr="00641932">
        <w:tc>
          <w:tcPr>
            <w:tcW w:w="0" w:type="auto"/>
            <w:vMerge/>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spacing w:after="0" w:line="240" w:lineRule="auto"/>
              <w:rPr>
                <w:rFonts w:ascii="Times New Roman" w:hAnsi="Times New Roman"/>
                <w:i/>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Біль у шиї, м’язова слабкість </w:t>
            </w:r>
            <w:r>
              <w:rPr>
                <w:vertAlign w:val="superscript"/>
              </w:rPr>
              <w:t>c</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Нечасто</w:t>
            </w:r>
          </w:p>
        </w:tc>
      </w:tr>
      <w:tr w:rsidR="00A83EAF" w:rsidTr="00641932">
        <w:tc>
          <w:tcPr>
            <w:tcW w:w="0" w:type="auto"/>
            <w:vMerge/>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spacing w:after="0" w:line="240" w:lineRule="auto"/>
              <w:rPr>
                <w:rFonts w:ascii="Times New Roman" w:hAnsi="Times New Roman"/>
                <w:i/>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 xml:space="preserve">Міопатія / </w:t>
            </w:r>
            <w:proofErr w:type="spellStart"/>
            <w:r>
              <w:t>рабдоміоліз</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Невідомо</w:t>
            </w:r>
          </w:p>
        </w:tc>
      </w:tr>
      <w:tr w:rsidR="00A83EAF" w:rsidTr="00641932">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rPr>
                <w:i/>
              </w:rPr>
            </w:pPr>
            <w:r>
              <w:rPr>
                <w:i/>
              </w:rPr>
              <w:t>Загальні розлади та реакції у місці введення</w:t>
            </w:r>
          </w:p>
        </w:tc>
        <w:tc>
          <w:tcPr>
            <w:tcW w:w="0" w:type="auto"/>
            <w:tcBorders>
              <w:top w:val="single" w:sz="4" w:space="0" w:color="auto"/>
              <w:left w:val="single" w:sz="4" w:space="0" w:color="auto"/>
              <w:bottom w:val="single" w:sz="4" w:space="0" w:color="auto"/>
              <w:right w:val="single" w:sz="4" w:space="0" w:color="auto"/>
            </w:tcBorders>
            <w:hideMark/>
          </w:tcPr>
          <w:p w:rsidR="00A83EAF" w:rsidRDefault="00A83EAF" w:rsidP="00641932">
            <w:pPr>
              <w:pStyle w:val="a4"/>
              <w:spacing w:after="0"/>
              <w:ind w:left="0"/>
              <w:jc w:val="both"/>
            </w:pPr>
            <w:r>
              <w:t>Біль у грудях, біль, периферичний набряк </w:t>
            </w:r>
            <w:r>
              <w:rPr>
                <w:vertAlign w:val="superscript"/>
              </w:rPr>
              <w:t>c</w:t>
            </w:r>
          </w:p>
        </w:tc>
        <w:tc>
          <w:tcPr>
            <w:tcW w:w="0" w:type="auto"/>
            <w:tcBorders>
              <w:top w:val="single" w:sz="4" w:space="0" w:color="auto"/>
              <w:left w:val="single" w:sz="4" w:space="0" w:color="auto"/>
              <w:bottom w:val="single" w:sz="4" w:space="0" w:color="auto"/>
              <w:right w:val="single" w:sz="4" w:space="0" w:color="auto"/>
            </w:tcBorders>
            <w:vAlign w:val="center"/>
            <w:hideMark/>
          </w:tcPr>
          <w:p w:rsidR="00A83EAF" w:rsidRDefault="00A83EAF" w:rsidP="00641932">
            <w:pPr>
              <w:pStyle w:val="a4"/>
              <w:spacing w:after="0"/>
              <w:ind w:left="0"/>
              <w:jc w:val="center"/>
            </w:pPr>
            <w:r>
              <w:t>Нечасто</w:t>
            </w:r>
          </w:p>
        </w:tc>
      </w:tr>
    </w:tbl>
    <w:p w:rsidR="00A83EAF" w:rsidRDefault="00A83EAF" w:rsidP="00A83EAF">
      <w:pPr>
        <w:shd w:val="clear" w:color="auto" w:fill="FFFFFF"/>
        <w:spacing w:after="0" w:line="240" w:lineRule="auto"/>
        <w:jc w:val="both"/>
        <w:rPr>
          <w:rFonts w:ascii="Times New Roman" w:hAnsi="Times New Roman"/>
          <w:szCs w:val="24"/>
        </w:rPr>
      </w:pPr>
      <w:proofErr w:type="spellStart"/>
      <w:r>
        <w:rPr>
          <w:rFonts w:ascii="Times New Roman" w:hAnsi="Times New Roman"/>
          <w:szCs w:val="24"/>
          <w:vertAlign w:val="superscript"/>
        </w:rPr>
        <w:t>a</w:t>
      </w:r>
      <w:r>
        <w:rPr>
          <w:rFonts w:ascii="Times New Roman" w:hAnsi="Times New Roman"/>
          <w:szCs w:val="24"/>
        </w:rPr>
        <w:t> Гіперурикем</w:t>
      </w:r>
      <w:proofErr w:type="spellEnd"/>
      <w:r>
        <w:rPr>
          <w:rFonts w:ascii="Times New Roman" w:hAnsi="Times New Roman"/>
          <w:szCs w:val="24"/>
        </w:rPr>
        <w:t xml:space="preserve">ія включає </w:t>
      </w:r>
      <w:proofErr w:type="spellStart"/>
      <w:r>
        <w:rPr>
          <w:rFonts w:ascii="Times New Roman" w:hAnsi="Times New Roman"/>
          <w:szCs w:val="24"/>
        </w:rPr>
        <w:t>гіперурикемію</w:t>
      </w:r>
      <w:proofErr w:type="spellEnd"/>
      <w:r>
        <w:rPr>
          <w:rFonts w:ascii="Times New Roman" w:hAnsi="Times New Roman"/>
          <w:szCs w:val="24"/>
        </w:rPr>
        <w:t xml:space="preserve"> та підвищення рівня сечової кислоти в крові.</w:t>
      </w:r>
    </w:p>
    <w:p w:rsidR="00A83EAF" w:rsidRDefault="00A83EAF" w:rsidP="00A83EAF">
      <w:pPr>
        <w:pStyle w:val="a4"/>
        <w:shd w:val="clear" w:color="auto" w:fill="FFFFFF"/>
        <w:spacing w:after="0"/>
        <w:ind w:left="0"/>
        <w:jc w:val="both"/>
      </w:pPr>
      <w:r>
        <w:rPr>
          <w:vertAlign w:val="superscript"/>
        </w:rPr>
        <w:t>b.</w:t>
      </w:r>
      <w:r>
        <w:t xml:space="preserve"> Підвищення показників функції печінки включає підвищення показників функції печінки та відхилення від норми</w:t>
      </w:r>
    </w:p>
    <w:p w:rsidR="00A83EAF" w:rsidRDefault="00A83EAF" w:rsidP="00A83EAF">
      <w:pPr>
        <w:pStyle w:val="a4"/>
        <w:shd w:val="clear" w:color="auto" w:fill="FFFFFF"/>
        <w:spacing w:after="0"/>
        <w:ind w:left="0"/>
        <w:jc w:val="both"/>
      </w:pPr>
      <w:r>
        <w:rPr>
          <w:vertAlign w:val="superscript"/>
        </w:rPr>
        <w:t>c.</w:t>
      </w:r>
      <w:r>
        <w:t xml:space="preserve"> Побічні реакції при одночасному застосуванні </w:t>
      </w:r>
      <w:proofErr w:type="spellStart"/>
      <w:r>
        <w:t>езетимібу</w:t>
      </w:r>
      <w:proofErr w:type="spellEnd"/>
      <w:r>
        <w:t xml:space="preserve"> зі </w:t>
      </w:r>
      <w:proofErr w:type="spellStart"/>
      <w:r>
        <w:t>статином</w:t>
      </w:r>
      <w:proofErr w:type="spellEnd"/>
    </w:p>
    <w:p w:rsidR="00A83EAF" w:rsidRDefault="00A83EAF" w:rsidP="00A83EAF">
      <w:pPr>
        <w:pStyle w:val="a4"/>
        <w:shd w:val="clear" w:color="auto" w:fill="FFFFFF"/>
        <w:spacing w:after="0"/>
        <w:ind w:left="0"/>
        <w:jc w:val="both"/>
      </w:pPr>
      <w:r>
        <w:rPr>
          <w:vertAlign w:val="superscript"/>
        </w:rPr>
        <w:t>d.</w:t>
      </w:r>
      <w:r>
        <w:t xml:space="preserve"> (Дослідження CLEAR </w:t>
      </w:r>
      <w:proofErr w:type="spellStart"/>
      <w:r>
        <w:t>Outcomes</w:t>
      </w:r>
      <w:proofErr w:type="spellEnd"/>
      <w:r>
        <w:t>) Зниження маси тіла спостерігалося лише у пацієнтів з початковим індексом маси тіла (ІМТ) ≥30 кг/м², із середнім зниженням маси тіла на -2,28 кг на 36</w:t>
      </w:r>
      <w:r>
        <w:noBreakHyphen/>
        <w:t xml:space="preserve">му місяці. Середнє зниження маси тіла становило ≤0,5 кг у пацієнтів з початковим ІМТ від 25 до &lt;30 кг/м². </w:t>
      </w:r>
      <w:proofErr w:type="spellStart"/>
      <w:r>
        <w:t>Бемпедоєва</w:t>
      </w:r>
      <w:proofErr w:type="spellEnd"/>
      <w:r>
        <w:t xml:space="preserve"> кислота не була пов'язана із середньою зміною маси тіла у пацієнтів з початковим ІМТ &lt;25 кг/м².</w:t>
      </w:r>
    </w:p>
    <w:p w:rsidR="00A83EAF" w:rsidRDefault="00A83EAF" w:rsidP="00A83EAF">
      <w:pPr>
        <w:pStyle w:val="a4"/>
        <w:shd w:val="clear" w:color="auto" w:fill="FFFFFF"/>
        <w:spacing w:after="0"/>
        <w:ind w:left="0"/>
        <w:jc w:val="both"/>
      </w:pPr>
    </w:p>
    <w:p w:rsidR="00A83EAF" w:rsidRDefault="00A83EAF" w:rsidP="00A83EAF">
      <w:pPr>
        <w:pStyle w:val="smpc-subtitle"/>
        <w:shd w:val="clear" w:color="auto" w:fill="FFFFFF"/>
        <w:spacing w:before="0" w:beforeAutospacing="0" w:after="0" w:afterAutospacing="0"/>
        <w:jc w:val="both"/>
        <w:rPr>
          <w:u w:val="single"/>
        </w:rPr>
      </w:pPr>
      <w:r>
        <w:rPr>
          <w:u w:val="single"/>
        </w:rPr>
        <w:t>Опис окремих побічних реакцій</w:t>
      </w:r>
    </w:p>
    <w:p w:rsidR="00A83EAF" w:rsidRDefault="00A83EAF" w:rsidP="00A83EAF">
      <w:pPr>
        <w:pStyle w:val="a4"/>
        <w:shd w:val="clear" w:color="auto" w:fill="FFFFFF"/>
        <w:spacing w:after="0"/>
        <w:ind w:left="0"/>
        <w:jc w:val="both"/>
      </w:pPr>
      <w:r>
        <w:rPr>
          <w:i/>
          <w:iCs/>
        </w:rPr>
        <w:t>Підвищений рівень сечової кислоти в сироватці крові</w:t>
      </w:r>
    </w:p>
    <w:p w:rsidR="00A83EAF" w:rsidRDefault="00A83EAF" w:rsidP="00A83EAF">
      <w:pPr>
        <w:pStyle w:val="a4"/>
        <w:shd w:val="clear" w:color="auto" w:fill="FFFFFF"/>
        <w:spacing w:after="0"/>
        <w:ind w:left="0"/>
        <w:jc w:val="both"/>
      </w:pPr>
      <w:r>
        <w:lastRenderedPageBreak/>
        <w:t xml:space="preserve">Лікарський засіб підвищує рівень сечової кислоти в сироватці крові, можливо, через пригнічення ниркового </w:t>
      </w:r>
      <w:proofErr w:type="spellStart"/>
      <w:r>
        <w:t>канальцевого</w:t>
      </w:r>
      <w:proofErr w:type="spellEnd"/>
      <w:r>
        <w:t xml:space="preserve"> OAT2 </w:t>
      </w:r>
      <w:proofErr w:type="spellStart"/>
      <w:r>
        <w:t>бемпедоєвою</w:t>
      </w:r>
      <w:proofErr w:type="spellEnd"/>
      <w:r>
        <w:t xml:space="preserve"> кислотою (див. розділ «Взаємодія з іншими лікарськими засобами та інші види взаємодій»). Середнє збільшення рівня сечової кислоти на 35,7 </w:t>
      </w:r>
      <w:proofErr w:type="spellStart"/>
      <w:r>
        <w:t>мікромоль</w:t>
      </w:r>
      <w:proofErr w:type="spellEnd"/>
      <w:r>
        <w:t>/л (0,6 мг/</w:t>
      </w:r>
      <w:proofErr w:type="spellStart"/>
      <w:r>
        <w:t>дл</w:t>
      </w:r>
      <w:proofErr w:type="spellEnd"/>
      <w:r>
        <w:t xml:space="preserve">) порівняно з початковим рівнем спостерігалося при застосуванні лікарського засобу на 12-му тижні. Підвищення рівня сечової кислоти в сироватці крові зазвичай відбувалося протягом перших 4 тижнів лікування та поверталося до початкового рівня після припинення лікування. Повідомлень про випадки подагри при застосуванні лікарського засобу не було. У дослідженнях первинної </w:t>
      </w:r>
      <w:proofErr w:type="spellStart"/>
      <w:r>
        <w:t>гіперліпідемії</w:t>
      </w:r>
      <w:proofErr w:type="spellEnd"/>
      <w:r>
        <w:t xml:space="preserve"> фази 3 із застосуванням </w:t>
      </w:r>
      <w:proofErr w:type="spellStart"/>
      <w:r>
        <w:t>бемпедоєвої</w:t>
      </w:r>
      <w:proofErr w:type="spellEnd"/>
      <w:r>
        <w:t xml:space="preserve"> кислоти про подагру повідомляли у 1,4 % пацієнтів, які отримували </w:t>
      </w:r>
      <w:proofErr w:type="spellStart"/>
      <w:r>
        <w:t>бемпедоєву</w:t>
      </w:r>
      <w:proofErr w:type="spellEnd"/>
      <w:r>
        <w:t xml:space="preserve"> кислоту, та у 0,4 % пацієнтів, які отримували плацебо. У дослідженні CLEAR </w:t>
      </w:r>
      <w:proofErr w:type="spellStart"/>
      <w:r>
        <w:t>Outcomes</w:t>
      </w:r>
      <w:proofErr w:type="spellEnd"/>
      <w:r>
        <w:t xml:space="preserve"> у пацієнтів, які отримували </w:t>
      </w:r>
      <w:proofErr w:type="spellStart"/>
      <w:r>
        <w:t>бемпедоєву</w:t>
      </w:r>
      <w:proofErr w:type="spellEnd"/>
      <w:r>
        <w:t xml:space="preserve"> кислоту, спостерігалося середнє збільшення рівня сечової кислоти на 47,6 мікромоль/л (0,8 мг/</w:t>
      </w:r>
      <w:proofErr w:type="spellStart"/>
      <w:r>
        <w:t>дл</w:t>
      </w:r>
      <w:proofErr w:type="spellEnd"/>
      <w:r>
        <w:t xml:space="preserve">) порівняно з початковим рівнем на 3-му місяці, а подагра також частіше повідомлялася у пацієнтів, які отримували </w:t>
      </w:r>
      <w:proofErr w:type="spellStart"/>
      <w:r>
        <w:t>бемпедоєву</w:t>
      </w:r>
      <w:proofErr w:type="spellEnd"/>
      <w:r>
        <w:t xml:space="preserve"> кислоту (3,1 %), ніж у пацієнтів, які отримували плацебо (2,1 %). В обох групах лікування пацієнти, які повідомляли про подагру, частіше мали подагру в анамнезі та/або початковий рівень сечової кислоти вище верхньої межі норми (див. розділ «Особливості застосування»). </w:t>
      </w:r>
      <w:r>
        <w:rPr>
          <w:i/>
          <w:iCs/>
        </w:rPr>
        <w:t xml:space="preserve">Вплив на </w:t>
      </w:r>
      <w:proofErr w:type="spellStart"/>
      <w:r>
        <w:rPr>
          <w:i/>
          <w:iCs/>
        </w:rPr>
        <w:t>креатинін</w:t>
      </w:r>
      <w:proofErr w:type="spellEnd"/>
      <w:r>
        <w:rPr>
          <w:i/>
          <w:iCs/>
        </w:rPr>
        <w:t xml:space="preserve"> сироватки крові та азот сечовини крові</w:t>
      </w:r>
    </w:p>
    <w:p w:rsidR="00A83EAF" w:rsidRDefault="00A83EAF" w:rsidP="00A83EAF">
      <w:pPr>
        <w:pStyle w:val="a4"/>
        <w:shd w:val="clear" w:color="auto" w:fill="FFFFFF"/>
        <w:spacing w:after="0"/>
        <w:ind w:left="0"/>
        <w:jc w:val="both"/>
      </w:pPr>
      <w:r>
        <w:t xml:space="preserve">Лікарський засіб підвищує рівень </w:t>
      </w:r>
      <w:proofErr w:type="spellStart"/>
      <w:r>
        <w:t>креатиніну</w:t>
      </w:r>
      <w:proofErr w:type="spellEnd"/>
      <w:r>
        <w:t xml:space="preserve"> в сироватці крові та азоту сечовини крові (АСЕЧВ). На 12-му тижні застосування лікарського засобу спостерігалося середнє збільшення рівня </w:t>
      </w:r>
      <w:proofErr w:type="spellStart"/>
      <w:r>
        <w:t>креатиніну</w:t>
      </w:r>
      <w:proofErr w:type="spellEnd"/>
      <w:r>
        <w:t xml:space="preserve"> в сироватці крові на 1,8 </w:t>
      </w:r>
      <w:proofErr w:type="spellStart"/>
      <w:r>
        <w:t>мікромоль</w:t>
      </w:r>
      <w:proofErr w:type="spellEnd"/>
      <w:r>
        <w:t>/л (0,02 мг/</w:t>
      </w:r>
      <w:proofErr w:type="spellStart"/>
      <w:r>
        <w:t>дл</w:t>
      </w:r>
      <w:proofErr w:type="spellEnd"/>
      <w:r>
        <w:t>) та середнє збільшення АСЕЧВ на 1 ммоль/л (2,7 мг/</w:t>
      </w:r>
      <w:proofErr w:type="spellStart"/>
      <w:r>
        <w:t>дл</w:t>
      </w:r>
      <w:proofErr w:type="spellEnd"/>
      <w:r>
        <w:t xml:space="preserve">) порівняно з початковим рівнем. Підвищення рівня </w:t>
      </w:r>
      <w:proofErr w:type="spellStart"/>
      <w:r>
        <w:t>креатиніну</w:t>
      </w:r>
      <w:proofErr w:type="spellEnd"/>
      <w:r>
        <w:t xml:space="preserve"> в сироватці крові та АСЕЧВ зазвичай відбувалося протягом перших 4 тижнів лікування, залишалося стабільним і поверталося до початкового рівня після припинення терапії. Подібне середнє збільшення рівня </w:t>
      </w:r>
      <w:proofErr w:type="spellStart"/>
      <w:r>
        <w:t>креатиніну</w:t>
      </w:r>
      <w:proofErr w:type="spellEnd"/>
      <w:r>
        <w:t xml:space="preserve"> в сироватці крові (5,8 мікромоль/л (0,066 мг/</w:t>
      </w:r>
      <w:proofErr w:type="spellStart"/>
      <w:r>
        <w:t>дл</w:t>
      </w:r>
      <w:proofErr w:type="spellEnd"/>
      <w:r>
        <w:t xml:space="preserve">)) та АСЕЧВ (0,82 </w:t>
      </w:r>
      <w:proofErr w:type="spellStart"/>
      <w:r>
        <w:t>ммоль</w:t>
      </w:r>
      <w:proofErr w:type="spellEnd"/>
      <w:r>
        <w:t>/л (2,3 мг/</w:t>
      </w:r>
      <w:proofErr w:type="spellStart"/>
      <w:r>
        <w:t>дл</w:t>
      </w:r>
      <w:proofErr w:type="spellEnd"/>
      <w:r>
        <w:t xml:space="preserve">)) спостерігалося при застосуванні </w:t>
      </w:r>
      <w:proofErr w:type="spellStart"/>
      <w:r>
        <w:t>бемпедоєвої</w:t>
      </w:r>
      <w:proofErr w:type="spellEnd"/>
      <w:r>
        <w:t xml:space="preserve"> кислоти в дослідженні CLEAR </w:t>
      </w:r>
      <w:proofErr w:type="spellStart"/>
      <w:r>
        <w:t>Outcomes</w:t>
      </w:r>
      <w:proofErr w:type="spellEnd"/>
      <w:r>
        <w:t xml:space="preserve">. Спостережуване підвищення рівня </w:t>
      </w:r>
      <w:proofErr w:type="spellStart"/>
      <w:r>
        <w:t>креатиніну</w:t>
      </w:r>
      <w:proofErr w:type="spellEnd"/>
      <w:r>
        <w:t xml:space="preserve"> в сироватці крові може бути пов'язане з пригніченням </w:t>
      </w:r>
      <w:proofErr w:type="spellStart"/>
      <w:r>
        <w:t>бемпедоєвою</w:t>
      </w:r>
      <w:proofErr w:type="spellEnd"/>
      <w:r>
        <w:t xml:space="preserve"> кислотою OAT2-залежної </w:t>
      </w:r>
      <w:proofErr w:type="spellStart"/>
      <w:r>
        <w:t>канальцевої</w:t>
      </w:r>
      <w:proofErr w:type="spellEnd"/>
      <w:r>
        <w:t xml:space="preserve"> секреції </w:t>
      </w:r>
      <w:proofErr w:type="spellStart"/>
      <w:r>
        <w:t>креатиніну</w:t>
      </w:r>
      <w:proofErr w:type="spellEnd"/>
      <w:r>
        <w:t xml:space="preserve"> (див. розділ «Взаємодія з іншими лікарськими засобами та інші види взаємодій»), що являє собою взаємодію препарату з ендогенним субстратом, і, схоже, не свідчить про погіршення функції нирок. Цей ефект слід враховувати при інтерпретації змін розрахункового кліренсу </w:t>
      </w:r>
      <w:proofErr w:type="spellStart"/>
      <w:r>
        <w:t>креатиніну</w:t>
      </w:r>
      <w:proofErr w:type="spellEnd"/>
      <w:r>
        <w:t xml:space="preserve"> у пацієнтів, які отримують терапію лікарським засобом, особливо у пацієнтів із захворюваннями або тих, хто отримує лікарські засоби, що потребують моніторингу розрахункового кліренсу </w:t>
      </w:r>
      <w:proofErr w:type="spellStart"/>
      <w:r>
        <w:t>креатиніну</w:t>
      </w:r>
      <w:proofErr w:type="spellEnd"/>
      <w:r>
        <w:t>.</w:t>
      </w:r>
    </w:p>
    <w:p w:rsidR="00A83EAF" w:rsidRDefault="00A83EAF" w:rsidP="00A83EAF">
      <w:pPr>
        <w:pStyle w:val="a4"/>
        <w:shd w:val="clear" w:color="auto" w:fill="FFFFFF"/>
        <w:spacing w:after="0"/>
        <w:ind w:left="0"/>
        <w:jc w:val="both"/>
      </w:pPr>
      <w:r>
        <w:rPr>
          <w:i/>
          <w:iCs/>
        </w:rPr>
        <w:t>Підвищення рівня печінкових ферментів</w:t>
      </w:r>
    </w:p>
    <w:p w:rsidR="00A83EAF" w:rsidRDefault="00A83EAF" w:rsidP="00A83EAF">
      <w:pPr>
        <w:pStyle w:val="a4"/>
        <w:shd w:val="clear" w:color="auto" w:fill="FFFFFF"/>
        <w:spacing w:after="0"/>
        <w:ind w:left="0"/>
        <w:jc w:val="both"/>
      </w:pPr>
      <w:r>
        <w:t xml:space="preserve">Підвищення рівня печінкових </w:t>
      </w:r>
      <w:proofErr w:type="spellStart"/>
      <w:r>
        <w:t>трансаміназ</w:t>
      </w:r>
      <w:proofErr w:type="spellEnd"/>
      <w:r>
        <w:t xml:space="preserve"> (АСТ та/або АЛТ) ≥3 × ВМН було зареєстровано у 2,4 % пацієнтів, які застосовували лікарський засіб, порівняно з жодним пацієнтом, який отримував плацебо. У 4 дослідженнях первинної </w:t>
      </w:r>
      <w:proofErr w:type="spellStart"/>
      <w:r>
        <w:t>гіперліпідемії</w:t>
      </w:r>
      <w:proofErr w:type="spellEnd"/>
      <w:r>
        <w:t xml:space="preserve"> фази 3 із застосуванням </w:t>
      </w:r>
      <w:proofErr w:type="spellStart"/>
      <w:r>
        <w:t>бемпедоєвої</w:t>
      </w:r>
      <w:proofErr w:type="spellEnd"/>
      <w:r>
        <w:t xml:space="preserve"> кислоти частота підвищення (≥3 × ВМН) рівня печінкових </w:t>
      </w:r>
      <w:proofErr w:type="spellStart"/>
      <w:r>
        <w:t>трансаміназ</w:t>
      </w:r>
      <w:proofErr w:type="spellEnd"/>
      <w:r>
        <w:t xml:space="preserve"> (АСТ та/або АЛТ) становила 0,7 % для пацієнтів, які отримували </w:t>
      </w:r>
      <w:proofErr w:type="spellStart"/>
      <w:r>
        <w:t>бемпедоєву</w:t>
      </w:r>
      <w:proofErr w:type="spellEnd"/>
      <w:r>
        <w:t xml:space="preserve"> кислоту, та 0,3 % для плацебо. У контрольованих клінічних комбінованих дослідженнях </w:t>
      </w:r>
      <w:proofErr w:type="spellStart"/>
      <w:r>
        <w:t>езетимібу</w:t>
      </w:r>
      <w:proofErr w:type="spellEnd"/>
      <w:r>
        <w:t xml:space="preserve">, розпочатих одночасно зі </w:t>
      </w:r>
      <w:proofErr w:type="spellStart"/>
      <w:r>
        <w:t>статином</w:t>
      </w:r>
      <w:proofErr w:type="spellEnd"/>
      <w:r>
        <w:t xml:space="preserve">, частота послідовного підвищення (≥ 3 × ВМН) рівня печінкових </w:t>
      </w:r>
      <w:proofErr w:type="spellStart"/>
      <w:r>
        <w:t>трансаміназ</w:t>
      </w:r>
      <w:proofErr w:type="spellEnd"/>
      <w:r>
        <w:t xml:space="preserve"> становила 1,3 % для пацієнтів, які отримували </w:t>
      </w:r>
      <w:proofErr w:type="spellStart"/>
      <w:r>
        <w:t>езетиміб</w:t>
      </w:r>
      <w:proofErr w:type="spellEnd"/>
      <w:r>
        <w:t xml:space="preserve"> разом зі </w:t>
      </w:r>
      <w:proofErr w:type="spellStart"/>
      <w:r>
        <w:t>статинами</w:t>
      </w:r>
      <w:proofErr w:type="spellEnd"/>
      <w:r>
        <w:t xml:space="preserve">, та 0,4 % для пацієнтів, які отримували лише </w:t>
      </w:r>
      <w:proofErr w:type="spellStart"/>
      <w:r>
        <w:t>статини</w:t>
      </w:r>
      <w:proofErr w:type="spellEnd"/>
      <w:r>
        <w:t xml:space="preserve">. У дослідженні CLEAR </w:t>
      </w:r>
      <w:proofErr w:type="spellStart"/>
      <w:r>
        <w:t>Outcomes</w:t>
      </w:r>
      <w:proofErr w:type="spellEnd"/>
      <w:r>
        <w:t xml:space="preserve"> частота підвищення рівня печінкових </w:t>
      </w:r>
      <w:proofErr w:type="spellStart"/>
      <w:r>
        <w:t>трансаміназ</w:t>
      </w:r>
      <w:proofErr w:type="spellEnd"/>
      <w:r>
        <w:t xml:space="preserve"> &gt;3 × ВМН також частіше спостерігалася у пацієнтів, які отримували </w:t>
      </w:r>
      <w:proofErr w:type="spellStart"/>
      <w:r>
        <w:t>бемпедоєву</w:t>
      </w:r>
      <w:proofErr w:type="spellEnd"/>
      <w:r>
        <w:t xml:space="preserve"> кислоту (1,6 %), ніж у пацієнтів, які отримували плацебо (1 %). Підвищення </w:t>
      </w:r>
      <w:r>
        <w:lastRenderedPageBreak/>
        <w:t xml:space="preserve">рівня </w:t>
      </w:r>
      <w:proofErr w:type="spellStart"/>
      <w:r>
        <w:t>трансаміназ</w:t>
      </w:r>
      <w:proofErr w:type="spellEnd"/>
      <w:r>
        <w:t xml:space="preserve"> при застосуванні </w:t>
      </w:r>
      <w:proofErr w:type="spellStart"/>
      <w:r>
        <w:t>бемпедоєвої</w:t>
      </w:r>
      <w:proofErr w:type="spellEnd"/>
      <w:r>
        <w:t xml:space="preserve"> кислоти або </w:t>
      </w:r>
      <w:proofErr w:type="spellStart"/>
      <w:r>
        <w:t>езетимібу</w:t>
      </w:r>
      <w:proofErr w:type="spellEnd"/>
      <w:r>
        <w:t xml:space="preserve"> не було пов'язане з іншими ознаками порушення функції печінки (див. розділ «Особливості застосування»).</w:t>
      </w:r>
    </w:p>
    <w:p w:rsidR="00A83EAF" w:rsidRDefault="00A83EAF" w:rsidP="00A83EAF">
      <w:pPr>
        <w:pStyle w:val="a4"/>
        <w:shd w:val="clear" w:color="auto" w:fill="FFFFFF"/>
        <w:spacing w:after="0"/>
        <w:ind w:left="0"/>
        <w:jc w:val="both"/>
      </w:pPr>
      <w:r>
        <w:rPr>
          <w:i/>
          <w:iCs/>
        </w:rPr>
        <w:t>Знижений гемоглобін</w:t>
      </w:r>
    </w:p>
    <w:p w:rsidR="00A83EAF" w:rsidRDefault="00A83EAF" w:rsidP="00A83EAF">
      <w:pPr>
        <w:pStyle w:val="a4"/>
        <w:shd w:val="clear" w:color="auto" w:fill="FFFFFF"/>
        <w:spacing w:after="0"/>
        <w:ind w:left="0"/>
        <w:jc w:val="both"/>
      </w:pPr>
      <w:r>
        <w:t xml:space="preserve">У дослідженнях первинної </w:t>
      </w:r>
      <w:proofErr w:type="spellStart"/>
      <w:r>
        <w:t>гіперліпідемії</w:t>
      </w:r>
      <w:proofErr w:type="spellEnd"/>
      <w:r>
        <w:t xml:space="preserve"> фази 3 із застосуванням </w:t>
      </w:r>
      <w:proofErr w:type="spellStart"/>
      <w:r>
        <w:t>бемпедоєвої</w:t>
      </w:r>
      <w:proofErr w:type="spellEnd"/>
      <w:r>
        <w:t xml:space="preserve"> кислоти зниження рівня гемоглобіну від початкового рівня на ≥20 г/л та &lt; нижньої межі норми (НМН) спостерігалося у 4,6 % пацієнтів у групі </w:t>
      </w:r>
      <w:proofErr w:type="spellStart"/>
      <w:r>
        <w:t>бемпедоєвої</w:t>
      </w:r>
      <w:proofErr w:type="spellEnd"/>
      <w:r>
        <w:t xml:space="preserve"> кислоти порівняно з 1,9 % пацієнтів, які отримували плацебо. Зниження рівня гемоглобіну понад 50 г/л та &lt; НМН спостерігалося з подібною частотою у групах </w:t>
      </w:r>
      <w:proofErr w:type="spellStart"/>
      <w:r>
        <w:t>бемпедоєвої</w:t>
      </w:r>
      <w:proofErr w:type="spellEnd"/>
      <w:r>
        <w:t xml:space="preserve"> кислоти та плацебо (0,2 % проти 0,2 % відповідно). Зниження рівня гемоглобіну зазвичай відбувалося протягом перших 4 тижнів лікування та поверталося до початкового рівня після припинення лікування. Серед пацієнтів, у яких на початку лікування були нормальні значення гемоглобіну, у 1,4 % у групі </w:t>
      </w:r>
      <w:proofErr w:type="spellStart"/>
      <w:r>
        <w:t>бемпедоєвої</w:t>
      </w:r>
      <w:proofErr w:type="spellEnd"/>
      <w:r>
        <w:t xml:space="preserve"> кислоти та 0,4 % у групі плацебо спостерігалися значення гемоглобіну нижче НМН під час лікування. У дослідженнях первинної </w:t>
      </w:r>
      <w:proofErr w:type="spellStart"/>
      <w:r>
        <w:t>гіперліпідемії</w:t>
      </w:r>
      <w:proofErr w:type="spellEnd"/>
      <w:r>
        <w:t xml:space="preserve"> фази 3 про анемію повідомляли у 2,5 % пацієнтів, які отримували </w:t>
      </w:r>
      <w:proofErr w:type="spellStart"/>
      <w:r>
        <w:t>бемпедоєву</w:t>
      </w:r>
      <w:proofErr w:type="spellEnd"/>
      <w:r>
        <w:t xml:space="preserve"> кислоту, та у 1,6 % пацієнтів, які отримували плацебо. У дослідженні CLEAR </w:t>
      </w:r>
      <w:proofErr w:type="spellStart"/>
      <w:r>
        <w:t>Outcomes</w:t>
      </w:r>
      <w:proofErr w:type="spellEnd"/>
      <w:r>
        <w:t xml:space="preserve"> спостерігалося подібне зниження рівня гемоглобіну, а анемія також частіше повідомлялася у пацієнтів, які отримували </w:t>
      </w:r>
      <w:proofErr w:type="spellStart"/>
      <w:r>
        <w:t>бемпедоєву</w:t>
      </w:r>
      <w:proofErr w:type="spellEnd"/>
      <w:r>
        <w:t xml:space="preserve"> кислоту (4,7 %), порівняно з пацієнтами, які отримували плацебо (3,9 %).</w:t>
      </w:r>
    </w:p>
    <w:p w:rsidR="00A83EAF" w:rsidRDefault="00A83EAF" w:rsidP="00A83EAF">
      <w:pPr>
        <w:pStyle w:val="a4"/>
        <w:shd w:val="clear" w:color="auto" w:fill="FFFFFF"/>
        <w:spacing w:after="0"/>
        <w:ind w:left="0"/>
        <w:jc w:val="both"/>
      </w:pPr>
    </w:p>
    <w:p w:rsidR="00A83EAF" w:rsidRDefault="00A83EAF" w:rsidP="00A83EAF">
      <w:pPr>
        <w:shd w:val="clear" w:color="auto" w:fill="FFFFFF"/>
        <w:spacing w:after="0" w:line="240" w:lineRule="auto"/>
        <w:jc w:val="both"/>
        <w:rPr>
          <w:rFonts w:ascii="Times New Roman" w:hAnsi="Times New Roman"/>
          <w:sz w:val="24"/>
          <w:szCs w:val="24"/>
        </w:rPr>
      </w:pPr>
      <w:r>
        <w:rPr>
          <w:rFonts w:ascii="Times New Roman" w:hAnsi="Times New Roman"/>
          <w:bCs/>
          <w:i/>
          <w:iCs/>
          <w:sz w:val="24"/>
          <w:szCs w:val="20"/>
          <w:u w:val="single"/>
          <w:lang w:eastAsia="ru-RU"/>
        </w:rPr>
        <w:t>Повідомлення про підозрювані побічні реакції</w:t>
      </w:r>
    </w:p>
    <w:p w:rsidR="00A83EAF" w:rsidRDefault="00A83EAF" w:rsidP="00A83EAF">
      <w:pPr>
        <w:spacing w:after="0" w:line="240" w:lineRule="auto"/>
        <w:jc w:val="both"/>
        <w:rPr>
          <w:rFonts w:ascii="Times New Roman" w:hAnsi="Times New Roman"/>
          <w:bCs/>
          <w:iCs/>
          <w:sz w:val="24"/>
          <w:szCs w:val="20"/>
          <w:lang w:eastAsia="ru-RU"/>
        </w:rPr>
      </w:pPr>
      <w:r>
        <w:rPr>
          <w:rFonts w:ascii="Times New Roman" w:hAnsi="Times New Roman"/>
          <w:bCs/>
          <w:iCs/>
          <w:sz w:val="24"/>
          <w:szCs w:val="20"/>
          <w:lang w:eastAsia="ru-RU"/>
        </w:rPr>
        <w:t xml:space="preserve">Повідомлення про побічні реакції після реєстрації лікарського засобу має важливе значення. Це дає змогу проводити моніторинг співвідношення користь / ризик при застосуванні цього лікарського засобу. Медичним та фармацевтичним працівникам, а також пацієнтам або їх законним представникам слід повідомляти про усі випадки підозрюваних побічних реакцій та відсутності ефективності лікарського засобу через Автоматизовану інформаційну систему з </w:t>
      </w:r>
      <w:proofErr w:type="spellStart"/>
      <w:r>
        <w:rPr>
          <w:rFonts w:ascii="Times New Roman" w:hAnsi="Times New Roman"/>
          <w:bCs/>
          <w:iCs/>
          <w:sz w:val="24"/>
          <w:szCs w:val="20"/>
          <w:lang w:eastAsia="ru-RU"/>
        </w:rPr>
        <w:t>фармаконагляду</w:t>
      </w:r>
      <w:proofErr w:type="spellEnd"/>
      <w:r>
        <w:rPr>
          <w:rFonts w:ascii="Times New Roman" w:hAnsi="Times New Roman"/>
          <w:bCs/>
          <w:iCs/>
          <w:sz w:val="24"/>
          <w:szCs w:val="20"/>
          <w:lang w:eastAsia="ru-RU"/>
        </w:rPr>
        <w:t xml:space="preserve"> за посиланням: https://aisf.dec.gov.ua</w:t>
      </w:r>
    </w:p>
    <w:p w:rsidR="00A83EAF" w:rsidRDefault="00A83EAF" w:rsidP="00A83EAF">
      <w:pPr>
        <w:spacing w:after="0" w:line="240" w:lineRule="auto"/>
        <w:rPr>
          <w:rFonts w:ascii="Times New Roman" w:hAnsi="Times New Roman"/>
          <w:sz w:val="24"/>
          <w:szCs w:val="28"/>
          <w:lang w:eastAsia="ru-RU"/>
        </w:rPr>
      </w:pPr>
    </w:p>
    <w:p w:rsidR="00A83EAF" w:rsidRDefault="00A83EAF" w:rsidP="00A83EAF">
      <w:pPr>
        <w:pStyle w:val="Normal1"/>
        <w:jc w:val="both"/>
        <w:rPr>
          <w:rFonts w:ascii="Times New Roman" w:hAnsi="Times New Roman"/>
          <w:b/>
          <w:sz w:val="24"/>
          <w:szCs w:val="24"/>
        </w:rPr>
      </w:pPr>
      <w:r>
        <w:rPr>
          <w:rFonts w:ascii="Times New Roman" w:hAnsi="Times New Roman"/>
          <w:b/>
          <w:sz w:val="24"/>
          <w:szCs w:val="24"/>
        </w:rPr>
        <w:t>Термін придатності</w:t>
      </w:r>
    </w:p>
    <w:p w:rsidR="00A83EAF" w:rsidRDefault="00A83EAF" w:rsidP="00A83EAF">
      <w:pPr>
        <w:pStyle w:val="Normal1"/>
        <w:jc w:val="both"/>
        <w:rPr>
          <w:rFonts w:ascii="Times New Roman" w:hAnsi="Times New Roman"/>
          <w:b/>
          <w:sz w:val="24"/>
          <w:szCs w:val="24"/>
        </w:rPr>
      </w:pPr>
      <w:r>
        <w:rPr>
          <w:rFonts w:ascii="Times New Roman" w:hAnsi="Times New Roman"/>
          <w:sz w:val="24"/>
          <w:szCs w:val="24"/>
        </w:rPr>
        <w:t>2 роки.</w:t>
      </w:r>
    </w:p>
    <w:p w:rsidR="00A83EAF" w:rsidRDefault="00A83EAF" w:rsidP="00A83EAF">
      <w:pPr>
        <w:tabs>
          <w:tab w:val="left" w:pos="8080"/>
        </w:tabs>
        <w:spacing w:after="0" w:line="240" w:lineRule="auto"/>
        <w:jc w:val="both"/>
        <w:rPr>
          <w:rFonts w:ascii="Times New Roman" w:hAnsi="Times New Roman"/>
          <w:sz w:val="24"/>
          <w:szCs w:val="24"/>
        </w:rPr>
      </w:pPr>
    </w:p>
    <w:p w:rsidR="00A83EAF" w:rsidRDefault="00A83EAF" w:rsidP="00A83EAF">
      <w:pPr>
        <w:pStyle w:val="a4"/>
        <w:spacing w:after="0"/>
        <w:ind w:left="0"/>
        <w:rPr>
          <w:b/>
        </w:rPr>
      </w:pPr>
      <w:r>
        <w:rPr>
          <w:b/>
        </w:rPr>
        <w:t>Умови зберігання.</w:t>
      </w:r>
    </w:p>
    <w:p w:rsidR="00A83EAF" w:rsidRDefault="00A83EAF" w:rsidP="00A83EAF">
      <w:pPr>
        <w:pStyle w:val="a4"/>
        <w:spacing w:after="0"/>
        <w:ind w:left="0"/>
        <w:rPr>
          <w:b/>
        </w:rPr>
      </w:pPr>
      <w:r>
        <w:t>Не вимагає спеціальних умов зберігання. Зберігати у недоступному для дітей місці.</w:t>
      </w:r>
    </w:p>
    <w:p w:rsidR="00A83EAF" w:rsidRDefault="00A83EAF" w:rsidP="00A83EAF">
      <w:pPr>
        <w:tabs>
          <w:tab w:val="left" w:pos="8080"/>
        </w:tabs>
        <w:spacing w:after="0" w:line="240" w:lineRule="auto"/>
        <w:jc w:val="both"/>
        <w:rPr>
          <w:rFonts w:ascii="Times New Roman" w:hAnsi="Times New Roman"/>
          <w:b/>
          <w:sz w:val="24"/>
          <w:szCs w:val="24"/>
        </w:rPr>
      </w:pPr>
    </w:p>
    <w:p w:rsidR="00A83EAF" w:rsidRDefault="00A83EAF" w:rsidP="00A83EAF">
      <w:pPr>
        <w:pStyle w:val="a4"/>
        <w:spacing w:after="0"/>
        <w:ind w:left="0"/>
        <w:jc w:val="both"/>
      </w:pPr>
      <w:r>
        <w:rPr>
          <w:b/>
        </w:rPr>
        <w:t>Упаковка.</w:t>
      </w:r>
      <w:r>
        <w:t xml:space="preserve"> По 10 таблеток у блістері, по 3 блістери в пачці з картону.</w:t>
      </w:r>
    </w:p>
    <w:p w:rsidR="00A83EAF" w:rsidRDefault="00A83EAF" w:rsidP="00A83EAF">
      <w:pPr>
        <w:pStyle w:val="a4"/>
        <w:spacing w:after="0"/>
        <w:ind w:left="0"/>
        <w:jc w:val="both"/>
      </w:pPr>
    </w:p>
    <w:p w:rsidR="00A83EAF" w:rsidRDefault="00A83EAF" w:rsidP="00A83EAF">
      <w:pPr>
        <w:spacing w:after="0" w:line="240" w:lineRule="auto"/>
        <w:jc w:val="both"/>
        <w:rPr>
          <w:rFonts w:ascii="Times New Roman" w:hAnsi="Times New Roman"/>
          <w:sz w:val="24"/>
          <w:szCs w:val="24"/>
        </w:rPr>
      </w:pPr>
      <w:r>
        <w:rPr>
          <w:rFonts w:ascii="Times New Roman" w:hAnsi="Times New Roman"/>
          <w:b/>
          <w:sz w:val="24"/>
          <w:szCs w:val="24"/>
        </w:rPr>
        <w:t xml:space="preserve">Категорія відпуску. </w:t>
      </w:r>
      <w:r>
        <w:rPr>
          <w:rFonts w:ascii="Times New Roman" w:hAnsi="Times New Roman"/>
          <w:sz w:val="24"/>
          <w:szCs w:val="24"/>
        </w:rPr>
        <w:t>За рецептом.</w:t>
      </w:r>
    </w:p>
    <w:p w:rsidR="00A83EAF" w:rsidRDefault="00A83EAF" w:rsidP="00A83EAF">
      <w:pPr>
        <w:spacing w:after="0" w:line="240" w:lineRule="auto"/>
        <w:jc w:val="both"/>
        <w:rPr>
          <w:rFonts w:ascii="Times New Roman" w:hAnsi="Times New Roman"/>
          <w:sz w:val="24"/>
          <w:szCs w:val="24"/>
        </w:rPr>
      </w:pPr>
    </w:p>
    <w:p w:rsidR="00A83EAF" w:rsidRDefault="00A83EAF" w:rsidP="00A83EAF">
      <w:pPr>
        <w:suppressAutoHyphens/>
        <w:spacing w:after="0" w:line="240" w:lineRule="auto"/>
        <w:jc w:val="both"/>
        <w:rPr>
          <w:rFonts w:ascii="Times New Roman" w:hAnsi="Times New Roman"/>
          <w:sz w:val="24"/>
          <w:szCs w:val="24"/>
          <w:lang w:eastAsia="ar-SA"/>
        </w:rPr>
      </w:pPr>
      <w:r>
        <w:rPr>
          <w:rFonts w:ascii="Times New Roman" w:hAnsi="Times New Roman"/>
          <w:b/>
          <w:sz w:val="24"/>
          <w:szCs w:val="24"/>
        </w:rPr>
        <w:t xml:space="preserve">Виробник. </w:t>
      </w:r>
      <w:proofErr w:type="spellStart"/>
      <w:r>
        <w:rPr>
          <w:rFonts w:ascii="Times New Roman" w:hAnsi="Times New Roman"/>
          <w:sz w:val="24"/>
          <w:szCs w:val="24"/>
          <w:lang w:eastAsia="ar-SA"/>
        </w:rPr>
        <w:t>Сінтон</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Хіспанія</w:t>
      </w:r>
      <w:proofErr w:type="spellEnd"/>
      <w:r>
        <w:rPr>
          <w:rFonts w:ascii="Times New Roman" w:hAnsi="Times New Roman"/>
          <w:sz w:val="24"/>
          <w:szCs w:val="24"/>
          <w:lang w:eastAsia="ar-SA"/>
        </w:rPr>
        <w:t>, С.Л.</w:t>
      </w:r>
    </w:p>
    <w:p w:rsidR="00A83EAF" w:rsidRDefault="00A83EAF" w:rsidP="00A83EAF">
      <w:pPr>
        <w:spacing w:after="0" w:line="240" w:lineRule="auto"/>
        <w:jc w:val="both"/>
        <w:rPr>
          <w:rFonts w:ascii="Times New Roman" w:hAnsi="Times New Roman"/>
          <w:b/>
          <w:sz w:val="24"/>
          <w:szCs w:val="24"/>
        </w:rPr>
      </w:pPr>
    </w:p>
    <w:p w:rsidR="00A83EAF" w:rsidRDefault="00A83EAF" w:rsidP="00A83EAF">
      <w:pPr>
        <w:spacing w:after="0" w:line="240" w:lineRule="auto"/>
        <w:jc w:val="both"/>
        <w:rPr>
          <w:rFonts w:ascii="Times New Roman" w:hAnsi="Times New Roman"/>
          <w:b/>
          <w:sz w:val="24"/>
          <w:szCs w:val="24"/>
        </w:rPr>
      </w:pPr>
      <w:r>
        <w:rPr>
          <w:rFonts w:ascii="Times New Roman" w:hAnsi="Times New Roman"/>
          <w:b/>
          <w:sz w:val="24"/>
          <w:szCs w:val="24"/>
        </w:rPr>
        <w:t>Місцезнаходження</w:t>
      </w:r>
      <w:r>
        <w:rPr>
          <w:rFonts w:ascii="Times New Roman" w:hAnsi="Times New Roman"/>
          <w:b/>
          <w:bCs/>
          <w:sz w:val="24"/>
          <w:szCs w:val="24"/>
        </w:rPr>
        <w:t xml:space="preserve"> виробника та адреса місця провадження його діяльності</w:t>
      </w:r>
    </w:p>
    <w:p w:rsidR="00A83EAF" w:rsidRDefault="00A83EAF" w:rsidP="00A83EAF">
      <w:pPr>
        <w:spacing w:after="0" w:line="240" w:lineRule="auto"/>
        <w:jc w:val="both"/>
        <w:rPr>
          <w:rFonts w:ascii="Times New Roman" w:hAnsi="Times New Roman"/>
          <w:sz w:val="24"/>
          <w:szCs w:val="24"/>
        </w:rPr>
      </w:pPr>
      <w:r>
        <w:rPr>
          <w:rFonts w:ascii="Times New Roman" w:eastAsia="Arial Unicode MS" w:hAnsi="Times New Roman"/>
          <w:sz w:val="24"/>
          <w:szCs w:val="24"/>
          <w:lang w:eastAsia="ar-SA"/>
        </w:rPr>
        <w:t>Вул. К/</w:t>
      </w:r>
      <w:proofErr w:type="spellStart"/>
      <w:r>
        <w:rPr>
          <w:rFonts w:ascii="Times New Roman" w:eastAsia="Arial Unicode MS" w:hAnsi="Times New Roman"/>
          <w:sz w:val="24"/>
          <w:szCs w:val="24"/>
          <w:lang w:eastAsia="ar-SA"/>
        </w:rPr>
        <w:t>Кастелло</w:t>
      </w:r>
      <w:proofErr w:type="spellEnd"/>
      <w:r>
        <w:rPr>
          <w:rFonts w:ascii="Times New Roman" w:eastAsia="Arial Unicode MS" w:hAnsi="Times New Roman"/>
          <w:sz w:val="24"/>
          <w:szCs w:val="24"/>
          <w:lang w:eastAsia="ar-SA"/>
        </w:rPr>
        <w:t xml:space="preserve">, n°1, </w:t>
      </w:r>
      <w:proofErr w:type="spellStart"/>
      <w:r>
        <w:rPr>
          <w:rFonts w:ascii="Times New Roman" w:eastAsia="Arial Unicode MS" w:hAnsi="Times New Roman"/>
          <w:sz w:val="24"/>
          <w:szCs w:val="24"/>
          <w:lang w:eastAsia="ar-SA"/>
        </w:rPr>
        <w:t>Сант</w:t>
      </w:r>
      <w:proofErr w:type="spellEnd"/>
      <w:r>
        <w:rPr>
          <w:rFonts w:ascii="Times New Roman" w:eastAsia="Arial Unicode MS" w:hAnsi="Times New Roman"/>
          <w:sz w:val="24"/>
          <w:szCs w:val="24"/>
          <w:lang w:eastAsia="ar-SA"/>
        </w:rPr>
        <w:t xml:space="preserve"> </w:t>
      </w:r>
      <w:proofErr w:type="spellStart"/>
      <w:r>
        <w:rPr>
          <w:rFonts w:ascii="Times New Roman" w:eastAsia="Arial Unicode MS" w:hAnsi="Times New Roman"/>
          <w:sz w:val="24"/>
          <w:szCs w:val="24"/>
          <w:lang w:eastAsia="ar-SA"/>
        </w:rPr>
        <w:t>Боі</w:t>
      </w:r>
      <w:proofErr w:type="spellEnd"/>
      <w:r>
        <w:rPr>
          <w:rFonts w:ascii="Times New Roman" w:eastAsia="Arial Unicode MS" w:hAnsi="Times New Roman"/>
          <w:sz w:val="24"/>
          <w:szCs w:val="24"/>
          <w:lang w:eastAsia="ar-SA"/>
        </w:rPr>
        <w:t xml:space="preserve"> де </w:t>
      </w:r>
      <w:proofErr w:type="spellStart"/>
      <w:r>
        <w:rPr>
          <w:rFonts w:ascii="Times New Roman" w:eastAsia="Arial Unicode MS" w:hAnsi="Times New Roman"/>
          <w:sz w:val="24"/>
          <w:szCs w:val="24"/>
          <w:lang w:eastAsia="ar-SA"/>
        </w:rPr>
        <w:t>Ллобрегат</w:t>
      </w:r>
      <w:proofErr w:type="spellEnd"/>
      <w:r>
        <w:rPr>
          <w:rFonts w:ascii="Times New Roman" w:eastAsia="Arial Unicode MS" w:hAnsi="Times New Roman"/>
          <w:sz w:val="24"/>
          <w:szCs w:val="24"/>
          <w:lang w:eastAsia="ar-SA"/>
        </w:rPr>
        <w:t xml:space="preserve">, Барселона, 08830, </w:t>
      </w:r>
      <w:r>
        <w:rPr>
          <w:rFonts w:ascii="Times New Roman" w:hAnsi="Times New Roman"/>
          <w:sz w:val="24"/>
          <w:szCs w:val="24"/>
          <w:lang w:eastAsia="ar-SA"/>
        </w:rPr>
        <w:t>Іспанія.</w:t>
      </w:r>
    </w:p>
    <w:p w:rsidR="00A83EAF" w:rsidRDefault="00A83EAF" w:rsidP="00A83EAF">
      <w:pPr>
        <w:spacing w:after="0" w:line="240" w:lineRule="auto"/>
        <w:jc w:val="both"/>
        <w:rPr>
          <w:rFonts w:ascii="Times New Roman" w:hAnsi="Times New Roman"/>
          <w:b/>
          <w:sz w:val="24"/>
          <w:szCs w:val="24"/>
        </w:rPr>
      </w:pPr>
    </w:p>
    <w:p w:rsidR="00341BF8" w:rsidRDefault="00A83EAF">
      <w:bookmarkStart w:id="3" w:name="_GoBack"/>
      <w:bookmarkEnd w:id="3"/>
    </w:p>
    <w:sectPr w:rsidR="00341BF8">
      <w:footerReference w:type="default" r:id="rId5"/>
      <w:pgSz w:w="11906" w:h="16838"/>
      <w:pgMar w:top="720" w:right="1274" w:bottom="810" w:left="1417" w:header="708" w:footer="54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A83EAF">
    <w:pPr>
      <w:pStyle w:val="a4"/>
      <w:tabs>
        <w:tab w:val="center" w:pos="4680"/>
        <w:tab w:val="right" w:pos="9360"/>
      </w:tabs>
      <w:spacing w:after="0"/>
      <w:ind w:left="0" w:right="-171"/>
      <w:jc w:val="center"/>
      <w:rPr>
        <w:lang w:val="en-US"/>
      </w:rPr>
    </w:pPr>
    <w:r>
      <w:rPr>
        <w:lang w:val="en-US"/>
      </w:rPr>
      <w:fldChar w:fldCharType="begin"/>
    </w:r>
    <w:r>
      <w:rPr>
        <w:lang w:val="en-US"/>
      </w:rPr>
      <w:instrText xml:space="preserve"> PAGE   \* MERGEFORMAT </w:instrText>
    </w:r>
    <w:r>
      <w:rPr>
        <w:lang w:val="en-US"/>
      </w:rPr>
      <w:fldChar w:fldCharType="separate"/>
    </w:r>
    <w:r w:rsidRPr="00A83EAF">
      <w:rPr>
        <w:noProof/>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EAF"/>
    <w:rsid w:val="004E413B"/>
    <w:rsid w:val="00A83EAF"/>
    <w:rsid w:val="00BF6F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EAF"/>
    <w:rPr>
      <w:rFonts w:ascii="Calibri" w:eastAsia="Times New Roman" w:hAnsi="Calibri" w:cs="Times New Roman"/>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Normal (Web) Char Знак,webb Знак,Обычный (веб)1 Знак"/>
    <w:link w:val="a4"/>
    <w:uiPriority w:val="99"/>
    <w:locked/>
    <w:rsid w:val="00A83EAF"/>
    <w:rPr>
      <w:rFonts w:ascii="Times New Roman" w:eastAsia="Times New Roman" w:hAnsi="Times New Roman" w:cs="Times New Roman"/>
      <w:sz w:val="24"/>
      <w:szCs w:val="24"/>
      <w:lang w:eastAsia="ru-RU"/>
    </w:rPr>
  </w:style>
  <w:style w:type="paragraph" w:styleId="a4">
    <w:name w:val="Normal (Web)"/>
    <w:aliases w:val="Обычный (Web),Normal (Web) Char,webb,Обычный (веб)1"/>
    <w:basedOn w:val="a"/>
    <w:link w:val="a3"/>
    <w:uiPriority w:val="99"/>
    <w:unhideWhenUsed/>
    <w:qFormat/>
    <w:rsid w:val="00A83EAF"/>
    <w:pPr>
      <w:ind w:left="720"/>
      <w:contextualSpacing/>
    </w:pPr>
    <w:rPr>
      <w:rFonts w:ascii="Times New Roman" w:hAnsi="Times New Roman"/>
      <w:sz w:val="24"/>
      <w:szCs w:val="24"/>
      <w:lang w:eastAsia="ru-RU"/>
    </w:rPr>
  </w:style>
  <w:style w:type="paragraph" w:customStyle="1" w:styleId="Normal1">
    <w:name w:val="Normal1"/>
    <w:uiPriority w:val="99"/>
    <w:qFormat/>
    <w:rsid w:val="00A83EAF"/>
    <w:pPr>
      <w:widowControl w:val="0"/>
      <w:snapToGrid w:val="0"/>
      <w:spacing w:after="0" w:line="240" w:lineRule="auto"/>
    </w:pPr>
    <w:rPr>
      <w:rFonts w:ascii="Arial" w:eastAsia="Times New Roman" w:hAnsi="Arial" w:cs="Times New Roman"/>
      <w:szCs w:val="20"/>
      <w:lang w:eastAsia="uk-UA"/>
    </w:rPr>
  </w:style>
  <w:style w:type="paragraph" w:customStyle="1" w:styleId="smpc-subtitle">
    <w:name w:val="smpc-subtitle"/>
    <w:basedOn w:val="a"/>
    <w:uiPriority w:val="99"/>
    <w:qFormat/>
    <w:rsid w:val="00A83EAF"/>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EAF"/>
    <w:rPr>
      <w:rFonts w:ascii="Calibri" w:eastAsia="Times New Roman" w:hAnsi="Calibri" w:cs="Times New Roman"/>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Normal (Web) Char Знак,webb Знак,Обычный (веб)1 Знак"/>
    <w:link w:val="a4"/>
    <w:uiPriority w:val="99"/>
    <w:locked/>
    <w:rsid w:val="00A83EAF"/>
    <w:rPr>
      <w:rFonts w:ascii="Times New Roman" w:eastAsia="Times New Roman" w:hAnsi="Times New Roman" w:cs="Times New Roman"/>
      <w:sz w:val="24"/>
      <w:szCs w:val="24"/>
      <w:lang w:eastAsia="ru-RU"/>
    </w:rPr>
  </w:style>
  <w:style w:type="paragraph" w:styleId="a4">
    <w:name w:val="Normal (Web)"/>
    <w:aliases w:val="Обычный (Web),Normal (Web) Char,webb,Обычный (веб)1"/>
    <w:basedOn w:val="a"/>
    <w:link w:val="a3"/>
    <w:uiPriority w:val="99"/>
    <w:unhideWhenUsed/>
    <w:qFormat/>
    <w:rsid w:val="00A83EAF"/>
    <w:pPr>
      <w:ind w:left="720"/>
      <w:contextualSpacing/>
    </w:pPr>
    <w:rPr>
      <w:rFonts w:ascii="Times New Roman" w:hAnsi="Times New Roman"/>
      <w:sz w:val="24"/>
      <w:szCs w:val="24"/>
      <w:lang w:eastAsia="ru-RU"/>
    </w:rPr>
  </w:style>
  <w:style w:type="paragraph" w:customStyle="1" w:styleId="Normal1">
    <w:name w:val="Normal1"/>
    <w:uiPriority w:val="99"/>
    <w:qFormat/>
    <w:rsid w:val="00A83EAF"/>
    <w:pPr>
      <w:widowControl w:val="0"/>
      <w:snapToGrid w:val="0"/>
      <w:spacing w:after="0" w:line="240" w:lineRule="auto"/>
    </w:pPr>
    <w:rPr>
      <w:rFonts w:ascii="Arial" w:eastAsia="Times New Roman" w:hAnsi="Arial" w:cs="Times New Roman"/>
      <w:szCs w:val="20"/>
      <w:lang w:eastAsia="uk-UA"/>
    </w:rPr>
  </w:style>
  <w:style w:type="paragraph" w:customStyle="1" w:styleId="smpc-subtitle">
    <w:name w:val="smpc-subtitle"/>
    <w:basedOn w:val="a"/>
    <w:uiPriority w:val="99"/>
    <w:qFormat/>
    <w:rsid w:val="00A83EA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37286</Words>
  <Characters>21254</Characters>
  <Application>Microsoft Office Word</Application>
  <DocSecurity>0</DocSecurity>
  <Lines>177</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co</Company>
  <LinksUpToDate>false</LinksUpToDate>
  <CharactersWithSpaces>58424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2026-09-17T09:29:00Z</dcterms:created>
  <dcterms:modified xsi:type="dcterms:W3CDTF">2026-09-17T09:30:00Z</dcterms:modified>
</cp:coreProperties>
</file>