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652" w:rsidRDefault="00686652" w:rsidP="006866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ІНСТРУКЦІЯ</w:t>
      </w:r>
    </w:p>
    <w:p w:rsidR="00686652" w:rsidRDefault="00686652" w:rsidP="006866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для медичного застосування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лікарського засобу</w:t>
      </w:r>
    </w:p>
    <w:p w:rsidR="00686652" w:rsidRDefault="00686652" w:rsidP="00686652">
      <w:pPr>
        <w:spacing w:after="0" w:line="240" w:lineRule="auto"/>
        <w:ind w:left="2040" w:right="200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86652" w:rsidRDefault="00686652" w:rsidP="006866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ЛІФЕЛА</w:t>
      </w:r>
    </w:p>
    <w:p w:rsidR="00686652" w:rsidRDefault="00686652" w:rsidP="006866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(LIFELA)</w:t>
      </w:r>
    </w:p>
    <w:p w:rsidR="00686652" w:rsidRDefault="00686652" w:rsidP="00686652">
      <w:pPr>
        <w:spacing w:after="0" w:line="240" w:lineRule="auto"/>
        <w:ind w:right="-143"/>
        <w:jc w:val="both"/>
        <w:rPr>
          <w:rFonts w:ascii="Times New Roman" w:hAnsi="Times New Roman"/>
          <w:sz w:val="24"/>
          <w:szCs w:val="24"/>
        </w:rPr>
      </w:pPr>
    </w:p>
    <w:p w:rsidR="00686652" w:rsidRDefault="00686652" w:rsidP="00686652">
      <w:pPr>
        <w:spacing w:after="0" w:line="240" w:lineRule="auto"/>
        <w:ind w:right="-143"/>
        <w:jc w:val="both"/>
        <w:rPr>
          <w:rFonts w:ascii="Times New Roman" w:hAnsi="Times New Roman"/>
          <w:sz w:val="24"/>
          <w:szCs w:val="24"/>
        </w:rPr>
      </w:pP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Склад: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діюча речовина: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бемпедоєва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кислота;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1 таблетка, вкрита плівковою оболонкою, містить 180 мг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бемпедоєвої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кислоти;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допоміжні речовини: </w:t>
      </w:r>
      <w:proofErr w:type="spellStart"/>
      <w:r>
        <w:rPr>
          <w:rFonts w:ascii="Times New Roman" w:hAnsi="Times New Roman"/>
          <w:sz w:val="24"/>
          <w:szCs w:val="24"/>
        </w:rPr>
        <w:t>гідроксипропілцелюлоза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низькозаміщена</w:t>
      </w:r>
      <w:proofErr w:type="spellEnd"/>
      <w:r>
        <w:rPr>
          <w:rFonts w:ascii="Times New Roman" w:hAnsi="Times New Roman"/>
          <w:sz w:val="24"/>
          <w:szCs w:val="24"/>
        </w:rPr>
        <w:t xml:space="preserve">; лактоза, моногідрат; натрію </w:t>
      </w:r>
      <w:proofErr w:type="spellStart"/>
      <w:r>
        <w:rPr>
          <w:rFonts w:ascii="Times New Roman" w:hAnsi="Times New Roman"/>
          <w:sz w:val="24"/>
          <w:szCs w:val="24"/>
        </w:rPr>
        <w:t>крохмальгліколят</w:t>
      </w:r>
      <w:proofErr w:type="spellEnd"/>
      <w:r>
        <w:rPr>
          <w:rFonts w:ascii="Times New Roman" w:hAnsi="Times New Roman"/>
          <w:sz w:val="24"/>
          <w:szCs w:val="24"/>
        </w:rPr>
        <w:t xml:space="preserve"> (тип А); </w:t>
      </w:r>
      <w:proofErr w:type="spellStart"/>
      <w:r>
        <w:rPr>
          <w:rFonts w:ascii="Times New Roman" w:hAnsi="Times New Roman"/>
          <w:sz w:val="24"/>
          <w:szCs w:val="24"/>
        </w:rPr>
        <w:t>повідон</w:t>
      </w:r>
      <w:proofErr w:type="spellEnd"/>
      <w:r>
        <w:rPr>
          <w:rFonts w:ascii="Times New Roman" w:hAnsi="Times New Roman"/>
          <w:sz w:val="24"/>
          <w:szCs w:val="24"/>
        </w:rPr>
        <w:t xml:space="preserve"> К30; магнію </w:t>
      </w:r>
      <w:proofErr w:type="spellStart"/>
      <w:r>
        <w:rPr>
          <w:rFonts w:ascii="Times New Roman" w:hAnsi="Times New Roman"/>
          <w:sz w:val="24"/>
          <w:szCs w:val="24"/>
        </w:rPr>
        <w:t>алюмінометасилікат</w:t>
      </w:r>
      <w:proofErr w:type="spellEnd"/>
      <w:r>
        <w:rPr>
          <w:rFonts w:ascii="Times New Roman" w:hAnsi="Times New Roman"/>
          <w:sz w:val="24"/>
          <w:szCs w:val="24"/>
        </w:rPr>
        <w:t xml:space="preserve"> (тип А); целюлоза мікрокристалічна (тип 102); магнію </w:t>
      </w:r>
      <w:proofErr w:type="spellStart"/>
      <w:r>
        <w:rPr>
          <w:rFonts w:ascii="Times New Roman" w:hAnsi="Times New Roman"/>
          <w:sz w:val="24"/>
          <w:szCs w:val="24"/>
        </w:rPr>
        <w:t>стеарат</w:t>
      </w:r>
      <w:proofErr w:type="spellEnd"/>
      <w:r>
        <w:rPr>
          <w:rFonts w:ascii="Times New Roman" w:hAnsi="Times New Roman"/>
          <w:sz w:val="24"/>
          <w:szCs w:val="24"/>
        </w:rPr>
        <w:t xml:space="preserve">; плівкова оболонка (спирт </w:t>
      </w:r>
      <w:proofErr w:type="spellStart"/>
      <w:r>
        <w:rPr>
          <w:rFonts w:ascii="Times New Roman" w:hAnsi="Times New Roman"/>
          <w:sz w:val="24"/>
          <w:szCs w:val="24"/>
        </w:rPr>
        <w:t>полівініловий</w:t>
      </w:r>
      <w:proofErr w:type="spellEnd"/>
      <w:r>
        <w:rPr>
          <w:rFonts w:ascii="Times New Roman" w:hAnsi="Times New Roman"/>
          <w:sz w:val="24"/>
          <w:szCs w:val="24"/>
        </w:rPr>
        <w:t xml:space="preserve">, титану </w:t>
      </w:r>
      <w:proofErr w:type="spellStart"/>
      <w:r>
        <w:rPr>
          <w:rFonts w:ascii="Times New Roman" w:hAnsi="Times New Roman"/>
          <w:sz w:val="24"/>
          <w:szCs w:val="24"/>
        </w:rPr>
        <w:t>діоксид</w:t>
      </w:r>
      <w:proofErr w:type="spellEnd"/>
      <w:r>
        <w:rPr>
          <w:rFonts w:ascii="Times New Roman" w:hAnsi="Times New Roman"/>
          <w:sz w:val="24"/>
          <w:szCs w:val="24"/>
        </w:rPr>
        <w:t xml:space="preserve"> (Е 171), </w:t>
      </w:r>
      <w:proofErr w:type="spellStart"/>
      <w:r>
        <w:rPr>
          <w:rFonts w:ascii="Times New Roman" w:hAnsi="Times New Roman"/>
          <w:sz w:val="24"/>
          <w:szCs w:val="24"/>
        </w:rPr>
        <w:t>макрогол</w:t>
      </w:r>
      <w:proofErr w:type="spellEnd"/>
      <w:r>
        <w:rPr>
          <w:rFonts w:ascii="Times New Roman" w:hAnsi="Times New Roman"/>
          <w:sz w:val="24"/>
          <w:szCs w:val="24"/>
        </w:rPr>
        <w:t xml:space="preserve"> 4000, тальк).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Лікарська форма.</w:t>
      </w:r>
      <w:r>
        <w:rPr>
          <w:rFonts w:ascii="Times New Roman" w:hAnsi="Times New Roman"/>
          <w:sz w:val="24"/>
          <w:szCs w:val="24"/>
        </w:rPr>
        <w:t xml:space="preserve"> Таблетки, вкриті плівковою оболонкою.</w:t>
      </w:r>
    </w:p>
    <w:p w:rsidR="00686652" w:rsidRDefault="00686652" w:rsidP="00686652">
      <w:pPr>
        <w:pStyle w:val="a4"/>
        <w:spacing w:after="0"/>
        <w:ind w:left="0"/>
        <w:jc w:val="both"/>
        <w:rPr>
          <w:lang w:eastAsia="en-US"/>
        </w:rPr>
      </w:pPr>
      <w:r>
        <w:t>Основні фізико-хімічні властивості:</w:t>
      </w:r>
      <w:r>
        <w:rPr>
          <w:i/>
        </w:rPr>
        <w:t xml:space="preserve"> </w:t>
      </w:r>
      <w:bookmarkStart w:id="0" w:name="_Hlk43735278"/>
      <w:r>
        <w:t>овальні таблетки білого або майже білого кольору, з тисненням «7Р» з одного боку та «180» з іншого.</w:t>
      </w:r>
    </w:p>
    <w:bookmarkEnd w:id="0"/>
    <w:p w:rsidR="00686652" w:rsidRDefault="00686652" w:rsidP="00686652">
      <w:pPr>
        <w:pStyle w:val="a4"/>
        <w:spacing w:after="0"/>
        <w:ind w:left="0"/>
        <w:jc w:val="both"/>
        <w:rPr>
          <w:rFonts w:eastAsia="Calibri"/>
          <w:i/>
          <w:lang w:eastAsia="en-US"/>
        </w:rPr>
      </w:pP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Фармакотерапевтична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група</w:t>
      </w:r>
    </w:p>
    <w:p w:rsidR="00686652" w:rsidRDefault="00686652" w:rsidP="00686652">
      <w:pPr>
        <w:pStyle w:val="a4"/>
        <w:spacing w:after="0"/>
        <w:ind w:left="0"/>
        <w:jc w:val="both"/>
      </w:pPr>
      <w:r>
        <w:t xml:space="preserve">Засоби, що впливають на серцево-судинну систему. </w:t>
      </w:r>
      <w:proofErr w:type="spellStart"/>
      <w:r>
        <w:t>Гіполіпідемічні</w:t>
      </w:r>
      <w:proofErr w:type="spellEnd"/>
      <w:r>
        <w:t xml:space="preserve"> засоби. Інші </w:t>
      </w:r>
      <w:proofErr w:type="spellStart"/>
      <w:r>
        <w:t>гіполіпідемічні</w:t>
      </w:r>
      <w:proofErr w:type="spellEnd"/>
      <w:r>
        <w:t xml:space="preserve"> засоби. </w:t>
      </w:r>
      <w:proofErr w:type="spellStart"/>
      <w:r>
        <w:t>Бемпедоєва</w:t>
      </w:r>
      <w:proofErr w:type="spellEnd"/>
      <w:r>
        <w:t xml:space="preserve"> кислота. Код АТХ C10A X15.</w:t>
      </w:r>
    </w:p>
    <w:p w:rsidR="00686652" w:rsidRDefault="00686652" w:rsidP="00686652">
      <w:pPr>
        <w:pStyle w:val="a4"/>
        <w:spacing w:after="0"/>
        <w:ind w:left="0"/>
        <w:jc w:val="both"/>
      </w:pPr>
    </w:p>
    <w:p w:rsidR="00686652" w:rsidRDefault="00686652" w:rsidP="00686652">
      <w:pPr>
        <w:spacing w:after="0" w:line="240" w:lineRule="auto"/>
        <w:rPr>
          <w:rFonts w:ascii="Times New Roman" w:hAnsi="Times New Roman"/>
          <w:b/>
          <w:i/>
          <w:sz w:val="24"/>
          <w:szCs w:val="28"/>
        </w:rPr>
      </w:pPr>
      <w:r>
        <w:rPr>
          <w:rFonts w:ascii="Times New Roman" w:hAnsi="Times New Roman"/>
          <w:b/>
          <w:i/>
          <w:sz w:val="24"/>
          <w:szCs w:val="28"/>
        </w:rPr>
        <w:t>Фармакологічні властивості</w:t>
      </w:r>
    </w:p>
    <w:p w:rsidR="00686652" w:rsidRDefault="00686652" w:rsidP="00686652">
      <w:pPr>
        <w:widowControl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proofErr w:type="spellStart"/>
      <w:r>
        <w:rPr>
          <w:rFonts w:ascii="Times New Roman" w:hAnsi="Times New Roman"/>
          <w:sz w:val="24"/>
          <w:szCs w:val="20"/>
        </w:rPr>
        <w:t>Фармакодинаміка</w:t>
      </w:r>
      <w:proofErr w:type="spellEnd"/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Механізм дії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Бемпедоєва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кислота – це інгібітор </w:t>
      </w:r>
      <w:proofErr w:type="spellStart"/>
      <w:r>
        <w:rPr>
          <w:rFonts w:ascii="Times New Roman" w:hAnsi="Times New Roman"/>
          <w:sz w:val="24"/>
          <w:szCs w:val="24"/>
        </w:rPr>
        <w:t>аденозинтрифосфатцитратліази</w:t>
      </w:r>
      <w:proofErr w:type="spellEnd"/>
      <w:r>
        <w:rPr>
          <w:rFonts w:ascii="Times New Roman" w:hAnsi="Times New Roman"/>
          <w:sz w:val="24"/>
          <w:szCs w:val="24"/>
        </w:rPr>
        <w:t xml:space="preserve"> (ACL), який знижує рівень холестерину ЛПНЩ шляхом пригнічення синтезу холестерину в печінці. ACL – це фермент, розташований вище за течією від 3-гідрокси-3-метилглутарил-коензим А (</w:t>
      </w:r>
      <w:proofErr w:type="spellStart"/>
      <w:r>
        <w:rPr>
          <w:rFonts w:ascii="Times New Roman" w:hAnsi="Times New Roman"/>
          <w:sz w:val="24"/>
          <w:szCs w:val="24"/>
        </w:rPr>
        <w:t>ГМГ-КоА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редуктази</w:t>
      </w:r>
      <w:proofErr w:type="spellEnd"/>
      <w:r>
        <w:rPr>
          <w:rFonts w:ascii="Times New Roman" w:hAnsi="Times New Roman"/>
          <w:sz w:val="24"/>
          <w:szCs w:val="24"/>
        </w:rPr>
        <w:t xml:space="preserve"> у шляху біосинтезу холестерину.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Бемпедоєва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кислота вимагає активації </w:t>
      </w:r>
      <w:proofErr w:type="spellStart"/>
      <w:r>
        <w:rPr>
          <w:rFonts w:ascii="Times New Roman" w:hAnsi="Times New Roman"/>
          <w:sz w:val="24"/>
          <w:szCs w:val="24"/>
        </w:rPr>
        <w:t>коензиму</w:t>
      </w:r>
      <w:proofErr w:type="spellEnd"/>
      <w:r>
        <w:rPr>
          <w:rFonts w:ascii="Times New Roman" w:hAnsi="Times New Roman"/>
          <w:sz w:val="24"/>
          <w:szCs w:val="24"/>
        </w:rPr>
        <w:t xml:space="preserve"> А (</w:t>
      </w:r>
      <w:proofErr w:type="spellStart"/>
      <w:r>
        <w:rPr>
          <w:rFonts w:ascii="Times New Roman" w:hAnsi="Times New Roman"/>
          <w:sz w:val="24"/>
          <w:szCs w:val="24"/>
        </w:rPr>
        <w:t>CoA</w:t>
      </w:r>
      <w:proofErr w:type="spellEnd"/>
      <w:r>
        <w:rPr>
          <w:rFonts w:ascii="Times New Roman" w:hAnsi="Times New Roman"/>
          <w:sz w:val="24"/>
          <w:szCs w:val="24"/>
        </w:rPr>
        <w:t xml:space="preserve">) дуже </w:t>
      </w:r>
      <w:proofErr w:type="spellStart"/>
      <w:r>
        <w:rPr>
          <w:rFonts w:ascii="Times New Roman" w:hAnsi="Times New Roman"/>
          <w:sz w:val="24"/>
          <w:szCs w:val="24"/>
        </w:rPr>
        <w:t>довголанцюговою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ацил-КоА-синтетазою</w:t>
      </w:r>
      <w:proofErr w:type="spellEnd"/>
      <w:r>
        <w:rPr>
          <w:rFonts w:ascii="Times New Roman" w:hAnsi="Times New Roman"/>
          <w:sz w:val="24"/>
          <w:szCs w:val="24"/>
        </w:rPr>
        <w:t xml:space="preserve"> 1 (ACSVL1) до ETC-1002-CoA. ACSVL1 </w:t>
      </w:r>
      <w:proofErr w:type="spellStart"/>
      <w:r>
        <w:rPr>
          <w:rFonts w:ascii="Times New Roman" w:hAnsi="Times New Roman"/>
          <w:sz w:val="24"/>
          <w:szCs w:val="24"/>
        </w:rPr>
        <w:t>експресується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переважно у печінці, а не у скелетних м'язах. Пригнічення ACL за допомогою ETC-1002-CoA призводить до зниження синтезу холестерину в печінці та знижує рівень холестерину ЛПНЩ у крові шляхом підвищення регуляції рецепторів </w:t>
      </w:r>
      <w:proofErr w:type="spellStart"/>
      <w:r>
        <w:rPr>
          <w:rFonts w:ascii="Times New Roman" w:hAnsi="Times New Roman"/>
          <w:sz w:val="24"/>
          <w:szCs w:val="24"/>
        </w:rPr>
        <w:t>ліпопротеїнів</w:t>
      </w:r>
      <w:proofErr w:type="spellEnd"/>
      <w:r>
        <w:rPr>
          <w:rFonts w:ascii="Times New Roman" w:hAnsi="Times New Roman"/>
          <w:sz w:val="24"/>
          <w:szCs w:val="24"/>
        </w:rPr>
        <w:t xml:space="preserve"> низької щільності. Крім того, пригнічення ACL за допомогою ETC-1002-CoA призводить до супутнього пригнічення біосинтезу жирних кислот у печінці.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Фармакодинамічні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ефекти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Застосування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бемпедоєвої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кислоти окремо та в комбінації з іншими </w:t>
      </w:r>
      <w:proofErr w:type="spellStart"/>
      <w:r>
        <w:rPr>
          <w:rFonts w:ascii="Times New Roman" w:hAnsi="Times New Roman"/>
          <w:sz w:val="24"/>
          <w:szCs w:val="24"/>
        </w:rPr>
        <w:t>ліпідомодифікаційними</w:t>
      </w:r>
      <w:proofErr w:type="spellEnd"/>
      <w:r>
        <w:rPr>
          <w:rFonts w:ascii="Times New Roman" w:hAnsi="Times New Roman"/>
          <w:sz w:val="24"/>
          <w:szCs w:val="24"/>
        </w:rPr>
        <w:t xml:space="preserve"> лікарськими засобами знижує рівень ЛПНЩ, холестерину </w:t>
      </w:r>
      <w:proofErr w:type="spellStart"/>
      <w:r>
        <w:rPr>
          <w:rFonts w:ascii="Times New Roman" w:hAnsi="Times New Roman"/>
          <w:sz w:val="24"/>
          <w:szCs w:val="24"/>
        </w:rPr>
        <w:t>неліпопротеїнів</w:t>
      </w:r>
      <w:proofErr w:type="spellEnd"/>
      <w:r>
        <w:rPr>
          <w:rFonts w:ascii="Times New Roman" w:hAnsi="Times New Roman"/>
          <w:sz w:val="24"/>
          <w:szCs w:val="24"/>
        </w:rPr>
        <w:t xml:space="preserve"> високої щільності (</w:t>
      </w:r>
      <w:proofErr w:type="spellStart"/>
      <w:r>
        <w:rPr>
          <w:rFonts w:ascii="Times New Roman" w:hAnsi="Times New Roman"/>
          <w:sz w:val="24"/>
          <w:szCs w:val="24"/>
        </w:rPr>
        <w:t>не-ЛПВЩ</w:t>
      </w:r>
      <w:proofErr w:type="spellEnd"/>
      <w:r>
        <w:rPr>
          <w:rFonts w:ascii="Times New Roman" w:hAnsi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/>
          <w:sz w:val="24"/>
          <w:szCs w:val="24"/>
        </w:rPr>
        <w:t>аполіпопротеїну</w:t>
      </w:r>
      <w:proofErr w:type="spellEnd"/>
      <w:r>
        <w:rPr>
          <w:rFonts w:ascii="Times New Roman" w:hAnsi="Times New Roman"/>
          <w:sz w:val="24"/>
          <w:szCs w:val="24"/>
        </w:rPr>
        <w:t xml:space="preserve"> B (</w:t>
      </w:r>
      <w:proofErr w:type="spellStart"/>
      <w:r>
        <w:rPr>
          <w:rFonts w:ascii="Times New Roman" w:hAnsi="Times New Roman"/>
          <w:sz w:val="24"/>
          <w:szCs w:val="24"/>
        </w:rPr>
        <w:t>апо</w:t>
      </w:r>
      <w:proofErr w:type="spellEnd"/>
      <w:r>
        <w:rPr>
          <w:rFonts w:ascii="Times New Roman" w:hAnsi="Times New Roman"/>
          <w:sz w:val="24"/>
          <w:szCs w:val="24"/>
        </w:rPr>
        <w:t xml:space="preserve"> B), загального холестерину (ЗХ) та С-реактивного білка (СРБ) у пацієнтів із </w:t>
      </w:r>
      <w:proofErr w:type="spellStart"/>
      <w:r>
        <w:rPr>
          <w:rFonts w:ascii="Times New Roman" w:hAnsi="Times New Roman"/>
          <w:sz w:val="24"/>
          <w:szCs w:val="24"/>
        </w:rPr>
        <w:t>гіперхолестеринемією</w:t>
      </w:r>
      <w:proofErr w:type="spellEnd"/>
      <w:r>
        <w:rPr>
          <w:rFonts w:ascii="Times New Roman" w:hAnsi="Times New Roman"/>
          <w:sz w:val="24"/>
          <w:szCs w:val="24"/>
        </w:rPr>
        <w:t xml:space="preserve"> або змішаною </w:t>
      </w:r>
      <w:proofErr w:type="spellStart"/>
      <w:r>
        <w:rPr>
          <w:rFonts w:ascii="Times New Roman" w:hAnsi="Times New Roman"/>
          <w:sz w:val="24"/>
          <w:szCs w:val="24"/>
        </w:rPr>
        <w:t>дисліпідемією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Оскільки пацієнти з діабетом мають підвищений ризик розвитку атеросклеротичних серцево-судинних захворювань, клінічні випробування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бемпедоєвої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кислоти включали пацієнтів із цукровим діабетом. Серед підгрупи пацієнтів з діабетом спостерігалися нижчі рівні гемоглобіну A1c (HbA1c) порівняно з плацебо (в середньому 0,2 %). У пацієнтів без діабету різниці в HbA1c між </w:t>
      </w:r>
      <w:proofErr w:type="spellStart"/>
      <w:r>
        <w:rPr>
          <w:rFonts w:ascii="Times New Roman" w:hAnsi="Times New Roman"/>
          <w:sz w:val="24"/>
          <w:szCs w:val="24"/>
        </w:rPr>
        <w:t>бемпедоєвою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кислотою та плацебо не спостерігалося, а також не було різниці в частоті гіпоглікемії.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Електрофізіологія серця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 дозі 240 мг (в 1,3 </w:t>
      </w:r>
      <w:proofErr w:type="spellStart"/>
      <w:r>
        <w:rPr>
          <w:rFonts w:ascii="Times New Roman" w:hAnsi="Times New Roman"/>
          <w:sz w:val="24"/>
          <w:szCs w:val="24"/>
        </w:rPr>
        <w:t>раза</w:t>
      </w:r>
      <w:proofErr w:type="spellEnd"/>
      <w:r>
        <w:rPr>
          <w:rFonts w:ascii="Times New Roman" w:hAnsi="Times New Roman"/>
          <w:sz w:val="24"/>
          <w:szCs w:val="24"/>
        </w:rPr>
        <w:t xml:space="preserve"> перевищує затверджену рекомендовану дозу)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бемпедоєва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кислота не подовжує інтервал QT клінічно значущою мірою.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Клінічна ефективність та безпека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Клінічна ефективність та безпека при первинній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гіперхолестеринемії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та змішаній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дисліпідемії</w:t>
      </w:r>
      <w:proofErr w:type="spellEnd"/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Ефективність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досліджували у чотирьох </w:t>
      </w:r>
      <w:proofErr w:type="spellStart"/>
      <w:r>
        <w:rPr>
          <w:rFonts w:ascii="Times New Roman" w:hAnsi="Times New Roman"/>
          <w:sz w:val="24"/>
          <w:szCs w:val="24"/>
        </w:rPr>
        <w:t>багатоцентрових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рандомізованих</w:t>
      </w:r>
      <w:proofErr w:type="spellEnd"/>
      <w:r>
        <w:rPr>
          <w:rFonts w:ascii="Times New Roman" w:hAnsi="Times New Roman"/>
          <w:sz w:val="24"/>
          <w:szCs w:val="24"/>
        </w:rPr>
        <w:t xml:space="preserve"> подвійних сліпих плацебо-контрольованих дослідженнях первинної </w:t>
      </w:r>
      <w:proofErr w:type="spellStart"/>
      <w:r>
        <w:rPr>
          <w:rFonts w:ascii="Times New Roman" w:hAnsi="Times New Roman"/>
          <w:sz w:val="24"/>
          <w:szCs w:val="24"/>
        </w:rPr>
        <w:t>гіперліпідемії</w:t>
      </w:r>
      <w:proofErr w:type="spellEnd"/>
      <w:r>
        <w:rPr>
          <w:rFonts w:ascii="Times New Roman" w:hAnsi="Times New Roman"/>
          <w:sz w:val="24"/>
          <w:szCs w:val="24"/>
        </w:rPr>
        <w:t xml:space="preserve"> фази 3, в яких взяли участь 3623 дорослих пацієнтів із </w:t>
      </w:r>
      <w:proofErr w:type="spellStart"/>
      <w:r>
        <w:rPr>
          <w:rFonts w:ascii="Times New Roman" w:hAnsi="Times New Roman"/>
          <w:sz w:val="24"/>
          <w:szCs w:val="24"/>
        </w:rPr>
        <w:t>гіперхолестеринемією</w:t>
      </w:r>
      <w:proofErr w:type="spellEnd"/>
      <w:r>
        <w:rPr>
          <w:rFonts w:ascii="Times New Roman" w:hAnsi="Times New Roman"/>
          <w:sz w:val="24"/>
          <w:szCs w:val="24"/>
        </w:rPr>
        <w:t xml:space="preserve"> або змішаною </w:t>
      </w:r>
      <w:proofErr w:type="spellStart"/>
      <w:r>
        <w:rPr>
          <w:rFonts w:ascii="Times New Roman" w:hAnsi="Times New Roman"/>
          <w:sz w:val="24"/>
          <w:szCs w:val="24"/>
        </w:rPr>
        <w:t>дисліпідемією</w:t>
      </w:r>
      <w:proofErr w:type="spellEnd"/>
      <w:r>
        <w:rPr>
          <w:rFonts w:ascii="Times New Roman" w:hAnsi="Times New Roman"/>
          <w:sz w:val="24"/>
          <w:szCs w:val="24"/>
        </w:rPr>
        <w:t xml:space="preserve">, причому 2425 пацієнтів були </w:t>
      </w:r>
      <w:proofErr w:type="spellStart"/>
      <w:r>
        <w:rPr>
          <w:rFonts w:ascii="Times New Roman" w:hAnsi="Times New Roman"/>
          <w:sz w:val="24"/>
          <w:szCs w:val="24"/>
        </w:rPr>
        <w:t>рандомізовані</w:t>
      </w:r>
      <w:proofErr w:type="spellEnd"/>
      <w:r>
        <w:rPr>
          <w:rFonts w:ascii="Times New Roman" w:hAnsi="Times New Roman"/>
          <w:sz w:val="24"/>
          <w:szCs w:val="24"/>
        </w:rPr>
        <w:t xml:space="preserve"> для отримання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кислоти. Усі пацієнти отримували </w:t>
      </w:r>
      <w:proofErr w:type="spellStart"/>
      <w:r>
        <w:rPr>
          <w:rFonts w:ascii="Times New Roman" w:hAnsi="Times New Roman"/>
          <w:sz w:val="24"/>
          <w:szCs w:val="24"/>
        </w:rPr>
        <w:t>бемпедоєву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кислоту 180 мг або плацебо </w:t>
      </w:r>
      <w:proofErr w:type="spellStart"/>
      <w:r>
        <w:rPr>
          <w:rFonts w:ascii="Times New Roman" w:hAnsi="Times New Roman"/>
          <w:sz w:val="24"/>
          <w:szCs w:val="24"/>
        </w:rPr>
        <w:t>перорально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1 раз на добу. У двох дослідженнях пацієнти приймали фонову </w:t>
      </w:r>
      <w:proofErr w:type="spellStart"/>
      <w:r>
        <w:rPr>
          <w:rFonts w:ascii="Times New Roman" w:hAnsi="Times New Roman"/>
          <w:sz w:val="24"/>
          <w:szCs w:val="24"/>
        </w:rPr>
        <w:t>ліпідомодифікуючу</w:t>
      </w:r>
      <w:proofErr w:type="spellEnd"/>
      <w:r>
        <w:rPr>
          <w:rFonts w:ascii="Times New Roman" w:hAnsi="Times New Roman"/>
          <w:sz w:val="24"/>
          <w:szCs w:val="24"/>
        </w:rPr>
        <w:t xml:space="preserve"> терапію, що складалася з максимально </w:t>
      </w:r>
      <w:proofErr w:type="spellStart"/>
      <w:r>
        <w:rPr>
          <w:rFonts w:ascii="Times New Roman" w:hAnsi="Times New Roman"/>
          <w:sz w:val="24"/>
          <w:szCs w:val="24"/>
        </w:rPr>
        <w:t>переносимої</w:t>
      </w:r>
      <w:proofErr w:type="spellEnd"/>
      <w:r>
        <w:rPr>
          <w:rFonts w:ascii="Times New Roman" w:hAnsi="Times New Roman"/>
          <w:sz w:val="24"/>
          <w:szCs w:val="24"/>
        </w:rPr>
        <w:t xml:space="preserve"> дози </w:t>
      </w:r>
      <w:proofErr w:type="spellStart"/>
      <w:r>
        <w:rPr>
          <w:rFonts w:ascii="Times New Roman" w:hAnsi="Times New Roman"/>
          <w:sz w:val="24"/>
          <w:szCs w:val="24"/>
        </w:rPr>
        <w:t>статинів</w:t>
      </w:r>
      <w:proofErr w:type="spellEnd"/>
      <w:r>
        <w:rPr>
          <w:rFonts w:ascii="Times New Roman" w:hAnsi="Times New Roman"/>
          <w:sz w:val="24"/>
          <w:szCs w:val="24"/>
        </w:rPr>
        <w:t xml:space="preserve">, з іншими </w:t>
      </w:r>
      <w:proofErr w:type="spellStart"/>
      <w:r>
        <w:rPr>
          <w:rFonts w:ascii="Times New Roman" w:hAnsi="Times New Roman"/>
          <w:sz w:val="24"/>
          <w:szCs w:val="24"/>
        </w:rPr>
        <w:t>ліпідомодифікуючими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терапіями</w:t>
      </w:r>
      <w:proofErr w:type="spellEnd"/>
      <w:r>
        <w:rPr>
          <w:rFonts w:ascii="Times New Roman" w:hAnsi="Times New Roman"/>
          <w:sz w:val="24"/>
          <w:szCs w:val="24"/>
        </w:rPr>
        <w:t xml:space="preserve"> або без них. Два дослідження проводили з участю пацієнтів з документованою непереносимістю </w:t>
      </w:r>
      <w:proofErr w:type="spellStart"/>
      <w:r>
        <w:rPr>
          <w:rFonts w:ascii="Times New Roman" w:hAnsi="Times New Roman"/>
          <w:sz w:val="24"/>
          <w:szCs w:val="24"/>
        </w:rPr>
        <w:t>статинів</w:t>
      </w:r>
      <w:proofErr w:type="spellEnd"/>
      <w:r>
        <w:rPr>
          <w:rFonts w:ascii="Times New Roman" w:hAnsi="Times New Roman"/>
          <w:sz w:val="24"/>
          <w:szCs w:val="24"/>
        </w:rPr>
        <w:t xml:space="preserve">. Первинною кінцевою точкою ефективності у всіх дослідженнях фази 3 було середнє відсоткове зниження рівня ЛПНЩ від початкового рівня на 12-му тижні порівняно з плацебо. </w:t>
      </w:r>
      <w:r>
        <w:rPr>
          <w:rFonts w:ascii="Times New Roman" w:hAnsi="Times New Roman"/>
          <w:i/>
          <w:iCs/>
          <w:sz w:val="24"/>
          <w:szCs w:val="24"/>
        </w:rPr>
        <w:t xml:space="preserve">Комбінована терапія зі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статинами</w:t>
      </w:r>
      <w:proofErr w:type="spellEnd"/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CLEAR </w:t>
      </w:r>
      <w:proofErr w:type="spellStart"/>
      <w:r>
        <w:rPr>
          <w:rFonts w:ascii="Times New Roman" w:hAnsi="Times New Roman"/>
          <w:sz w:val="24"/>
          <w:szCs w:val="24"/>
        </w:rPr>
        <w:t>Wisdom</w:t>
      </w:r>
      <w:proofErr w:type="spellEnd"/>
      <w:r>
        <w:rPr>
          <w:rFonts w:ascii="Times New Roman" w:hAnsi="Times New Roman"/>
          <w:sz w:val="24"/>
          <w:szCs w:val="24"/>
        </w:rPr>
        <w:t xml:space="preserve"> (дослідження 1002</w:t>
      </w:r>
      <w:r>
        <w:rPr>
          <w:rFonts w:ascii="Times New Roman" w:hAnsi="Times New Roman"/>
          <w:sz w:val="24"/>
          <w:szCs w:val="24"/>
        </w:rPr>
        <w:noBreakHyphen/>
        <w:t xml:space="preserve">047) було </w:t>
      </w:r>
      <w:proofErr w:type="spellStart"/>
      <w:r>
        <w:rPr>
          <w:rFonts w:ascii="Times New Roman" w:hAnsi="Times New Roman"/>
          <w:sz w:val="24"/>
          <w:szCs w:val="24"/>
        </w:rPr>
        <w:t>багатоцентровим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рандомізованим</w:t>
      </w:r>
      <w:proofErr w:type="spellEnd"/>
      <w:r>
        <w:rPr>
          <w:rFonts w:ascii="Times New Roman" w:hAnsi="Times New Roman"/>
          <w:sz w:val="24"/>
          <w:szCs w:val="24"/>
        </w:rPr>
        <w:t xml:space="preserve"> подвійним сліпим плацебо-контрольованим 52-тижневим дослідженням первинної </w:t>
      </w:r>
      <w:proofErr w:type="spellStart"/>
      <w:r>
        <w:rPr>
          <w:rFonts w:ascii="Times New Roman" w:hAnsi="Times New Roman"/>
          <w:sz w:val="24"/>
          <w:szCs w:val="24"/>
        </w:rPr>
        <w:t>гіперліпідемії</w:t>
      </w:r>
      <w:proofErr w:type="spellEnd"/>
      <w:r>
        <w:rPr>
          <w:rFonts w:ascii="Times New Roman" w:hAnsi="Times New Roman"/>
          <w:sz w:val="24"/>
          <w:szCs w:val="24"/>
        </w:rPr>
        <w:t xml:space="preserve"> фази 3 у пацієнтів із </w:t>
      </w:r>
      <w:proofErr w:type="spellStart"/>
      <w:r>
        <w:rPr>
          <w:rFonts w:ascii="Times New Roman" w:hAnsi="Times New Roman"/>
          <w:sz w:val="24"/>
          <w:szCs w:val="24"/>
        </w:rPr>
        <w:t>гіперхолестеринемією</w:t>
      </w:r>
      <w:proofErr w:type="spellEnd"/>
      <w:r>
        <w:rPr>
          <w:rFonts w:ascii="Times New Roman" w:hAnsi="Times New Roman"/>
          <w:sz w:val="24"/>
          <w:szCs w:val="24"/>
        </w:rPr>
        <w:t xml:space="preserve"> або змішаною </w:t>
      </w:r>
      <w:proofErr w:type="spellStart"/>
      <w:r>
        <w:rPr>
          <w:rFonts w:ascii="Times New Roman" w:hAnsi="Times New Roman"/>
          <w:sz w:val="24"/>
          <w:szCs w:val="24"/>
        </w:rPr>
        <w:t>дисліпідемією</w:t>
      </w:r>
      <w:proofErr w:type="spellEnd"/>
      <w:r>
        <w:rPr>
          <w:rFonts w:ascii="Times New Roman" w:hAnsi="Times New Roman"/>
          <w:sz w:val="24"/>
          <w:szCs w:val="24"/>
        </w:rPr>
        <w:t xml:space="preserve">. Ефективність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оцінювали на 12-му тижні. У дослідженні брали участь 779 пацієнтів, </w:t>
      </w:r>
      <w:proofErr w:type="spellStart"/>
      <w:r>
        <w:rPr>
          <w:rFonts w:ascii="Times New Roman" w:hAnsi="Times New Roman"/>
          <w:sz w:val="24"/>
          <w:szCs w:val="24"/>
        </w:rPr>
        <w:t>рандомізованих</w:t>
      </w:r>
      <w:proofErr w:type="spellEnd"/>
      <w:r>
        <w:rPr>
          <w:rFonts w:ascii="Times New Roman" w:hAnsi="Times New Roman"/>
          <w:sz w:val="24"/>
          <w:szCs w:val="24"/>
        </w:rPr>
        <w:t xml:space="preserve"> у співвідношенні 2:1 для отримання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(n=522) або плацебо (n=257) як доповнення до максимально </w:t>
      </w:r>
      <w:proofErr w:type="spellStart"/>
      <w:r>
        <w:rPr>
          <w:rFonts w:ascii="Times New Roman" w:hAnsi="Times New Roman"/>
          <w:sz w:val="24"/>
          <w:szCs w:val="24"/>
        </w:rPr>
        <w:t>переносимої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ліпідознижувальної</w:t>
      </w:r>
      <w:proofErr w:type="spellEnd"/>
      <w:r>
        <w:rPr>
          <w:rFonts w:ascii="Times New Roman" w:hAnsi="Times New Roman"/>
          <w:sz w:val="24"/>
          <w:szCs w:val="24"/>
        </w:rPr>
        <w:t xml:space="preserve"> терапії. Максимально </w:t>
      </w:r>
      <w:proofErr w:type="spellStart"/>
      <w:r>
        <w:rPr>
          <w:rFonts w:ascii="Times New Roman" w:hAnsi="Times New Roman"/>
          <w:sz w:val="24"/>
          <w:szCs w:val="24"/>
        </w:rPr>
        <w:t>переносима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ліпідознижувальна</w:t>
      </w:r>
      <w:proofErr w:type="spellEnd"/>
      <w:r>
        <w:rPr>
          <w:rFonts w:ascii="Times New Roman" w:hAnsi="Times New Roman"/>
          <w:sz w:val="24"/>
          <w:szCs w:val="24"/>
        </w:rPr>
        <w:t xml:space="preserve"> терапія визначалася як максимально </w:t>
      </w:r>
      <w:proofErr w:type="spellStart"/>
      <w:r>
        <w:rPr>
          <w:rFonts w:ascii="Times New Roman" w:hAnsi="Times New Roman"/>
          <w:sz w:val="24"/>
          <w:szCs w:val="24"/>
        </w:rPr>
        <w:t>переносима</w:t>
      </w:r>
      <w:proofErr w:type="spellEnd"/>
      <w:r>
        <w:rPr>
          <w:rFonts w:ascii="Times New Roman" w:hAnsi="Times New Roman"/>
          <w:sz w:val="24"/>
          <w:szCs w:val="24"/>
        </w:rPr>
        <w:t xml:space="preserve"> доза </w:t>
      </w:r>
      <w:proofErr w:type="spellStart"/>
      <w:r>
        <w:rPr>
          <w:rFonts w:ascii="Times New Roman" w:hAnsi="Times New Roman"/>
          <w:sz w:val="24"/>
          <w:szCs w:val="24"/>
        </w:rPr>
        <w:t>статинів</w:t>
      </w:r>
      <w:proofErr w:type="spellEnd"/>
      <w:r>
        <w:rPr>
          <w:rFonts w:ascii="Times New Roman" w:hAnsi="Times New Roman"/>
          <w:sz w:val="24"/>
          <w:szCs w:val="24"/>
        </w:rPr>
        <w:t xml:space="preserve"> (включаючи режими прийому </w:t>
      </w:r>
      <w:proofErr w:type="spellStart"/>
      <w:r>
        <w:rPr>
          <w:rFonts w:ascii="Times New Roman" w:hAnsi="Times New Roman"/>
          <w:sz w:val="24"/>
          <w:szCs w:val="24"/>
        </w:rPr>
        <w:t>статинів</w:t>
      </w:r>
      <w:proofErr w:type="spellEnd"/>
      <w:r>
        <w:rPr>
          <w:rFonts w:ascii="Times New Roman" w:hAnsi="Times New Roman"/>
          <w:sz w:val="24"/>
          <w:szCs w:val="24"/>
        </w:rPr>
        <w:t xml:space="preserve">, відмінні від щоденного дозування, та дози відсутності або дуже низькі) окремо або в комбінації з іншими </w:t>
      </w:r>
      <w:proofErr w:type="spellStart"/>
      <w:r>
        <w:rPr>
          <w:rFonts w:ascii="Times New Roman" w:hAnsi="Times New Roman"/>
          <w:sz w:val="24"/>
          <w:szCs w:val="24"/>
        </w:rPr>
        <w:t>ліпідознижувальними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терапіями</w:t>
      </w:r>
      <w:proofErr w:type="spellEnd"/>
      <w:r>
        <w:rPr>
          <w:rFonts w:ascii="Times New Roman" w:hAnsi="Times New Roman"/>
          <w:sz w:val="24"/>
          <w:szCs w:val="24"/>
        </w:rPr>
        <w:t xml:space="preserve">. Пацієнти, які приймали </w:t>
      </w:r>
      <w:proofErr w:type="spellStart"/>
      <w:r>
        <w:rPr>
          <w:rFonts w:ascii="Times New Roman" w:hAnsi="Times New Roman"/>
          <w:sz w:val="24"/>
          <w:szCs w:val="24"/>
        </w:rPr>
        <w:t>симвастатин</w:t>
      </w:r>
      <w:proofErr w:type="spellEnd"/>
      <w:r>
        <w:rPr>
          <w:rFonts w:ascii="Times New Roman" w:hAnsi="Times New Roman"/>
          <w:sz w:val="24"/>
          <w:szCs w:val="24"/>
        </w:rPr>
        <w:t xml:space="preserve"> у дозі 40 мг/добу або вище, були виключені з дослідження.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Загалом середній вік на початку дослідження становив 64 роки (діапазон: від 28 до 91 року), 51 % були віком ≥65 років, 36 % були жінками, 94 % були білими, 5 % - чорношкірими та 1 % - азіатами. Середній початковий рівень ХС ЛПНЩ становив 3,1 ммоль/л (120,4 мг/</w:t>
      </w:r>
      <w:proofErr w:type="spellStart"/>
      <w:r>
        <w:rPr>
          <w:rFonts w:ascii="Times New Roman" w:hAnsi="Times New Roman"/>
          <w:sz w:val="24"/>
          <w:szCs w:val="24"/>
        </w:rPr>
        <w:t>дл</w:t>
      </w:r>
      <w:proofErr w:type="spellEnd"/>
      <w:r>
        <w:rPr>
          <w:rFonts w:ascii="Times New Roman" w:hAnsi="Times New Roman"/>
          <w:sz w:val="24"/>
          <w:szCs w:val="24"/>
        </w:rPr>
        <w:t xml:space="preserve">). На момент </w:t>
      </w:r>
      <w:proofErr w:type="spellStart"/>
      <w:r>
        <w:rPr>
          <w:rFonts w:ascii="Times New Roman" w:hAnsi="Times New Roman"/>
          <w:sz w:val="24"/>
          <w:szCs w:val="24"/>
        </w:rPr>
        <w:t>рандомізації</w:t>
      </w:r>
      <w:proofErr w:type="spellEnd"/>
      <w:r>
        <w:rPr>
          <w:rFonts w:ascii="Times New Roman" w:hAnsi="Times New Roman"/>
          <w:sz w:val="24"/>
          <w:szCs w:val="24"/>
        </w:rPr>
        <w:t xml:space="preserve"> 91 % пацієнтів отримували </w:t>
      </w:r>
      <w:proofErr w:type="spellStart"/>
      <w:r>
        <w:rPr>
          <w:rFonts w:ascii="Times New Roman" w:hAnsi="Times New Roman"/>
          <w:sz w:val="24"/>
          <w:szCs w:val="24"/>
        </w:rPr>
        <w:t>статинотерапію</w:t>
      </w:r>
      <w:proofErr w:type="spellEnd"/>
      <w:r>
        <w:rPr>
          <w:rFonts w:ascii="Times New Roman" w:hAnsi="Times New Roman"/>
          <w:sz w:val="24"/>
          <w:szCs w:val="24"/>
        </w:rPr>
        <w:t xml:space="preserve">, а 53 % - </w:t>
      </w:r>
      <w:proofErr w:type="spellStart"/>
      <w:r>
        <w:rPr>
          <w:rFonts w:ascii="Times New Roman" w:hAnsi="Times New Roman"/>
          <w:sz w:val="24"/>
          <w:szCs w:val="24"/>
        </w:rPr>
        <w:t>високоінтенсивну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статинотерапію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Бемпедоєва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кислота значно зменшила рівень ХС ЛПНЩ від початкового рівня до 12-го тижня порівняно з плацебо (p &lt;0,001).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Бемпедоєва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кислота також значно зменшила рівень </w:t>
      </w:r>
      <w:proofErr w:type="spellStart"/>
      <w:r>
        <w:rPr>
          <w:rFonts w:ascii="Times New Roman" w:hAnsi="Times New Roman"/>
          <w:sz w:val="24"/>
          <w:szCs w:val="24"/>
        </w:rPr>
        <w:t>не-ХС</w:t>
      </w:r>
      <w:proofErr w:type="spellEnd"/>
      <w:r>
        <w:rPr>
          <w:rFonts w:ascii="Times New Roman" w:hAnsi="Times New Roman"/>
          <w:sz w:val="24"/>
          <w:szCs w:val="24"/>
        </w:rPr>
        <w:t xml:space="preserve"> ЛПВЩ, </w:t>
      </w:r>
      <w:proofErr w:type="spellStart"/>
      <w:r>
        <w:rPr>
          <w:rFonts w:ascii="Times New Roman" w:hAnsi="Times New Roman"/>
          <w:sz w:val="24"/>
          <w:szCs w:val="24"/>
        </w:rPr>
        <w:t>апо</w:t>
      </w:r>
      <w:proofErr w:type="spellEnd"/>
      <w:r>
        <w:rPr>
          <w:rFonts w:ascii="Times New Roman" w:hAnsi="Times New Roman"/>
          <w:sz w:val="24"/>
          <w:szCs w:val="24"/>
        </w:rPr>
        <w:t xml:space="preserve"> B та TC. CLEAR </w:t>
      </w:r>
      <w:proofErr w:type="spellStart"/>
      <w:r>
        <w:rPr>
          <w:rFonts w:ascii="Times New Roman" w:hAnsi="Times New Roman"/>
          <w:sz w:val="24"/>
          <w:szCs w:val="24"/>
        </w:rPr>
        <w:t>Harmony</w:t>
      </w:r>
      <w:proofErr w:type="spellEnd"/>
      <w:r>
        <w:rPr>
          <w:rFonts w:ascii="Times New Roman" w:hAnsi="Times New Roman"/>
          <w:sz w:val="24"/>
          <w:szCs w:val="24"/>
        </w:rPr>
        <w:t xml:space="preserve"> (дослідження 1002</w:t>
      </w:r>
      <w:r>
        <w:rPr>
          <w:rFonts w:ascii="Times New Roman" w:hAnsi="Times New Roman"/>
          <w:sz w:val="24"/>
          <w:szCs w:val="24"/>
        </w:rPr>
        <w:noBreakHyphen/>
        <w:t xml:space="preserve">040) було </w:t>
      </w:r>
      <w:proofErr w:type="spellStart"/>
      <w:r>
        <w:rPr>
          <w:rFonts w:ascii="Times New Roman" w:hAnsi="Times New Roman"/>
          <w:sz w:val="24"/>
          <w:szCs w:val="24"/>
        </w:rPr>
        <w:t>багатоцентровим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рандомізованим</w:t>
      </w:r>
      <w:proofErr w:type="spellEnd"/>
      <w:r>
        <w:rPr>
          <w:rFonts w:ascii="Times New Roman" w:hAnsi="Times New Roman"/>
          <w:sz w:val="24"/>
          <w:szCs w:val="24"/>
        </w:rPr>
        <w:t xml:space="preserve"> подвійним сліпим плацебо-контрольованим 52-тижневим дослідженням первинної </w:t>
      </w:r>
      <w:proofErr w:type="spellStart"/>
      <w:r>
        <w:rPr>
          <w:rFonts w:ascii="Times New Roman" w:hAnsi="Times New Roman"/>
          <w:sz w:val="24"/>
          <w:szCs w:val="24"/>
        </w:rPr>
        <w:t>гіперліпідемії</w:t>
      </w:r>
      <w:proofErr w:type="spellEnd"/>
      <w:r>
        <w:rPr>
          <w:rFonts w:ascii="Times New Roman" w:hAnsi="Times New Roman"/>
          <w:sz w:val="24"/>
          <w:szCs w:val="24"/>
        </w:rPr>
        <w:t xml:space="preserve"> фази 3, яке оцінювало безпеку та ефективність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у пацієнтів із </w:t>
      </w:r>
      <w:proofErr w:type="spellStart"/>
      <w:r>
        <w:rPr>
          <w:rFonts w:ascii="Times New Roman" w:hAnsi="Times New Roman"/>
          <w:sz w:val="24"/>
          <w:szCs w:val="24"/>
        </w:rPr>
        <w:t>гіперхолестеринемією</w:t>
      </w:r>
      <w:proofErr w:type="spellEnd"/>
      <w:r>
        <w:rPr>
          <w:rFonts w:ascii="Times New Roman" w:hAnsi="Times New Roman"/>
          <w:sz w:val="24"/>
          <w:szCs w:val="24"/>
        </w:rPr>
        <w:t xml:space="preserve"> або змішаною </w:t>
      </w:r>
      <w:proofErr w:type="spellStart"/>
      <w:r>
        <w:rPr>
          <w:rFonts w:ascii="Times New Roman" w:hAnsi="Times New Roman"/>
          <w:sz w:val="24"/>
          <w:szCs w:val="24"/>
        </w:rPr>
        <w:t>дисліпідемією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Ефективність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оцінювали на 12-му тижні. У дослідженні брали участь 2230 пацієнтів, </w:t>
      </w:r>
      <w:proofErr w:type="spellStart"/>
      <w:r>
        <w:rPr>
          <w:rFonts w:ascii="Times New Roman" w:hAnsi="Times New Roman"/>
          <w:sz w:val="24"/>
          <w:szCs w:val="24"/>
        </w:rPr>
        <w:t>рандомізованих</w:t>
      </w:r>
      <w:proofErr w:type="spellEnd"/>
      <w:r>
        <w:rPr>
          <w:rFonts w:ascii="Times New Roman" w:hAnsi="Times New Roman"/>
          <w:sz w:val="24"/>
          <w:szCs w:val="24"/>
        </w:rPr>
        <w:t xml:space="preserve"> у співвідношенні 2:1 для отримання або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(n=1488), або плацебо (n=742) як доповнення до максимально </w:t>
      </w:r>
      <w:proofErr w:type="spellStart"/>
      <w:r>
        <w:rPr>
          <w:rFonts w:ascii="Times New Roman" w:hAnsi="Times New Roman"/>
          <w:sz w:val="24"/>
          <w:szCs w:val="24"/>
        </w:rPr>
        <w:t>переносимої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ліпідознижувальної</w:t>
      </w:r>
      <w:proofErr w:type="spellEnd"/>
      <w:r>
        <w:rPr>
          <w:rFonts w:ascii="Times New Roman" w:hAnsi="Times New Roman"/>
          <w:sz w:val="24"/>
          <w:szCs w:val="24"/>
        </w:rPr>
        <w:t xml:space="preserve"> терапії. Максимально </w:t>
      </w:r>
      <w:proofErr w:type="spellStart"/>
      <w:r>
        <w:rPr>
          <w:rFonts w:ascii="Times New Roman" w:hAnsi="Times New Roman"/>
          <w:sz w:val="24"/>
          <w:szCs w:val="24"/>
        </w:rPr>
        <w:t>переносима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ліпідознижувальна</w:t>
      </w:r>
      <w:proofErr w:type="spellEnd"/>
      <w:r>
        <w:rPr>
          <w:rFonts w:ascii="Times New Roman" w:hAnsi="Times New Roman"/>
          <w:sz w:val="24"/>
          <w:szCs w:val="24"/>
        </w:rPr>
        <w:t xml:space="preserve"> терапія визначалася як максимально </w:t>
      </w:r>
      <w:proofErr w:type="spellStart"/>
      <w:r>
        <w:rPr>
          <w:rFonts w:ascii="Times New Roman" w:hAnsi="Times New Roman"/>
          <w:sz w:val="24"/>
          <w:szCs w:val="24"/>
        </w:rPr>
        <w:t>переносима</w:t>
      </w:r>
      <w:proofErr w:type="spellEnd"/>
      <w:r>
        <w:rPr>
          <w:rFonts w:ascii="Times New Roman" w:hAnsi="Times New Roman"/>
          <w:sz w:val="24"/>
          <w:szCs w:val="24"/>
        </w:rPr>
        <w:t xml:space="preserve"> доза </w:t>
      </w:r>
      <w:proofErr w:type="spellStart"/>
      <w:r>
        <w:rPr>
          <w:rFonts w:ascii="Times New Roman" w:hAnsi="Times New Roman"/>
          <w:sz w:val="24"/>
          <w:szCs w:val="24"/>
        </w:rPr>
        <w:t>статинів</w:t>
      </w:r>
      <w:proofErr w:type="spellEnd"/>
      <w:r>
        <w:rPr>
          <w:rFonts w:ascii="Times New Roman" w:hAnsi="Times New Roman"/>
          <w:sz w:val="24"/>
          <w:szCs w:val="24"/>
        </w:rPr>
        <w:t xml:space="preserve"> (включаючи режими прийому </w:t>
      </w:r>
      <w:proofErr w:type="spellStart"/>
      <w:r>
        <w:rPr>
          <w:rFonts w:ascii="Times New Roman" w:hAnsi="Times New Roman"/>
          <w:sz w:val="24"/>
          <w:szCs w:val="24"/>
        </w:rPr>
        <w:t>статинів</w:t>
      </w:r>
      <w:proofErr w:type="spellEnd"/>
      <w:r>
        <w:rPr>
          <w:rFonts w:ascii="Times New Roman" w:hAnsi="Times New Roman"/>
          <w:sz w:val="24"/>
          <w:szCs w:val="24"/>
        </w:rPr>
        <w:t xml:space="preserve">, відмінні від щоденного дозування, та дуже низьких доз) окремо або в комбінації з іншими </w:t>
      </w:r>
      <w:proofErr w:type="spellStart"/>
      <w:r>
        <w:rPr>
          <w:rFonts w:ascii="Times New Roman" w:hAnsi="Times New Roman"/>
          <w:sz w:val="24"/>
          <w:szCs w:val="24"/>
        </w:rPr>
        <w:t>ліпідознижувальними</w:t>
      </w:r>
      <w:proofErr w:type="spellEnd"/>
      <w:r>
        <w:rPr>
          <w:rFonts w:ascii="Times New Roman" w:hAnsi="Times New Roman"/>
          <w:sz w:val="24"/>
          <w:szCs w:val="24"/>
        </w:rPr>
        <w:t xml:space="preserve"> методами. Пацієнти, які отримували </w:t>
      </w:r>
      <w:proofErr w:type="spellStart"/>
      <w:r>
        <w:rPr>
          <w:rFonts w:ascii="Times New Roman" w:hAnsi="Times New Roman"/>
          <w:sz w:val="24"/>
          <w:szCs w:val="24"/>
        </w:rPr>
        <w:t>симвастатин</w:t>
      </w:r>
      <w:proofErr w:type="spellEnd"/>
      <w:r>
        <w:rPr>
          <w:rFonts w:ascii="Times New Roman" w:hAnsi="Times New Roman"/>
          <w:sz w:val="24"/>
          <w:szCs w:val="24"/>
        </w:rPr>
        <w:t xml:space="preserve"> 40 мг на добу або вище, та пацієнти, які отримували інгібітори PCSK9, були виключені з дослідження.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Загалом середній вік на початку дослідження становив 66 років (діапазон: від 24 до 88 років), 61 % були віком ≥65 років, 27 % були жінками, 96 % були білими, 3 % - чорношкірими та 1 % - азіатами. Середній початковий рівень ХС ЛПНЩ становив 2,7 ммоль/л (103,2 мг/</w:t>
      </w:r>
      <w:proofErr w:type="spellStart"/>
      <w:r>
        <w:rPr>
          <w:rFonts w:ascii="Times New Roman" w:hAnsi="Times New Roman"/>
          <w:sz w:val="24"/>
          <w:szCs w:val="24"/>
        </w:rPr>
        <w:t>дл</w:t>
      </w:r>
      <w:proofErr w:type="spellEnd"/>
      <w:r>
        <w:rPr>
          <w:rFonts w:ascii="Times New Roman" w:hAnsi="Times New Roman"/>
          <w:sz w:val="24"/>
          <w:szCs w:val="24"/>
        </w:rPr>
        <w:t xml:space="preserve">). На момент </w:t>
      </w:r>
      <w:proofErr w:type="spellStart"/>
      <w:r>
        <w:rPr>
          <w:rFonts w:ascii="Times New Roman" w:hAnsi="Times New Roman"/>
          <w:sz w:val="24"/>
          <w:szCs w:val="24"/>
        </w:rPr>
        <w:t>рандомізації</w:t>
      </w:r>
      <w:proofErr w:type="spellEnd"/>
      <w:r>
        <w:rPr>
          <w:rFonts w:ascii="Times New Roman" w:hAnsi="Times New Roman"/>
          <w:sz w:val="24"/>
          <w:szCs w:val="24"/>
        </w:rPr>
        <w:t xml:space="preserve"> всі пацієнти отримували </w:t>
      </w:r>
      <w:proofErr w:type="spellStart"/>
      <w:r>
        <w:rPr>
          <w:rFonts w:ascii="Times New Roman" w:hAnsi="Times New Roman"/>
          <w:sz w:val="24"/>
          <w:szCs w:val="24"/>
        </w:rPr>
        <w:t>статинотерапію</w:t>
      </w:r>
      <w:proofErr w:type="spellEnd"/>
      <w:r>
        <w:rPr>
          <w:rFonts w:ascii="Times New Roman" w:hAnsi="Times New Roman"/>
          <w:sz w:val="24"/>
          <w:szCs w:val="24"/>
        </w:rPr>
        <w:t xml:space="preserve">, а 50 % отримували </w:t>
      </w:r>
      <w:proofErr w:type="spellStart"/>
      <w:r>
        <w:rPr>
          <w:rFonts w:ascii="Times New Roman" w:hAnsi="Times New Roman"/>
          <w:sz w:val="24"/>
          <w:szCs w:val="24"/>
        </w:rPr>
        <w:t>високоінтенсивну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статинотерапію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Бемпедоєва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кислота значно зменшила рівень ХС ЛПНЩ від початкового рівня до 12-го тижня порівняно з плацебо (p &lt;0,001). Значно більша частка пацієнтів досягла рівня ЛПНЩ ˂1,81 ммоль/л (&lt;70 мг/</w:t>
      </w:r>
      <w:proofErr w:type="spellStart"/>
      <w:r>
        <w:rPr>
          <w:rFonts w:ascii="Times New Roman" w:hAnsi="Times New Roman"/>
          <w:sz w:val="24"/>
          <w:szCs w:val="24"/>
        </w:rPr>
        <w:t>дл</w:t>
      </w:r>
      <w:proofErr w:type="spellEnd"/>
      <w:r>
        <w:rPr>
          <w:rFonts w:ascii="Times New Roman" w:hAnsi="Times New Roman"/>
          <w:sz w:val="24"/>
          <w:szCs w:val="24"/>
        </w:rPr>
        <w:t xml:space="preserve">) у групі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порівняно з плацебо на 12-му тижні (32 % проти 9 %, P &lt;0,001),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бемпедоєва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кислота також значно зменшила рівень </w:t>
      </w:r>
      <w:proofErr w:type="spellStart"/>
      <w:r>
        <w:rPr>
          <w:rFonts w:ascii="Times New Roman" w:hAnsi="Times New Roman"/>
          <w:sz w:val="24"/>
          <w:szCs w:val="24"/>
        </w:rPr>
        <w:t>не-ЛПВЩ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апо</w:t>
      </w:r>
      <w:proofErr w:type="spellEnd"/>
      <w:r>
        <w:rPr>
          <w:rFonts w:ascii="Times New Roman" w:hAnsi="Times New Roman"/>
          <w:sz w:val="24"/>
          <w:szCs w:val="24"/>
        </w:rPr>
        <w:t xml:space="preserve"> B та TC.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Пацієнти з непереносимістю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статинів</w:t>
      </w:r>
      <w:proofErr w:type="spellEnd"/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CLEAR </w:t>
      </w:r>
      <w:proofErr w:type="spellStart"/>
      <w:r>
        <w:rPr>
          <w:rFonts w:ascii="Times New Roman" w:hAnsi="Times New Roman"/>
          <w:sz w:val="24"/>
          <w:szCs w:val="24"/>
        </w:rPr>
        <w:t>Tranquility</w:t>
      </w:r>
      <w:proofErr w:type="spellEnd"/>
      <w:r>
        <w:rPr>
          <w:rFonts w:ascii="Times New Roman" w:hAnsi="Times New Roman"/>
          <w:sz w:val="24"/>
          <w:szCs w:val="24"/>
        </w:rPr>
        <w:t xml:space="preserve"> (дослідження 1002</w:t>
      </w:r>
      <w:r>
        <w:rPr>
          <w:rFonts w:ascii="Times New Roman" w:hAnsi="Times New Roman"/>
          <w:sz w:val="24"/>
          <w:szCs w:val="24"/>
        </w:rPr>
        <w:noBreakHyphen/>
        <w:t xml:space="preserve">048) було </w:t>
      </w:r>
      <w:proofErr w:type="spellStart"/>
      <w:r>
        <w:rPr>
          <w:rFonts w:ascii="Times New Roman" w:hAnsi="Times New Roman"/>
          <w:sz w:val="24"/>
          <w:szCs w:val="24"/>
        </w:rPr>
        <w:t>багатоцентровим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рандомізованим</w:t>
      </w:r>
      <w:proofErr w:type="spellEnd"/>
      <w:r>
        <w:rPr>
          <w:rFonts w:ascii="Times New Roman" w:hAnsi="Times New Roman"/>
          <w:sz w:val="24"/>
          <w:szCs w:val="24"/>
        </w:rPr>
        <w:t xml:space="preserve"> подвійним сліпим плацебо-контрольованим 12-тижневим дослідженням первинної </w:t>
      </w:r>
      <w:proofErr w:type="spellStart"/>
      <w:r>
        <w:rPr>
          <w:rFonts w:ascii="Times New Roman" w:hAnsi="Times New Roman"/>
          <w:sz w:val="24"/>
          <w:szCs w:val="24"/>
        </w:rPr>
        <w:lastRenderedPageBreak/>
        <w:t>гіперліпідемії</w:t>
      </w:r>
      <w:proofErr w:type="spellEnd"/>
      <w:r>
        <w:rPr>
          <w:rFonts w:ascii="Times New Roman" w:hAnsi="Times New Roman"/>
          <w:sz w:val="24"/>
          <w:szCs w:val="24"/>
        </w:rPr>
        <w:t xml:space="preserve"> фази 3, яке оцінювало ефективність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порівняно з плацебо у зниженні рівня ХС ЛПНЩ при додаванні до </w:t>
      </w:r>
      <w:proofErr w:type="spellStart"/>
      <w:r>
        <w:rPr>
          <w:rFonts w:ascii="Times New Roman" w:hAnsi="Times New Roman"/>
          <w:sz w:val="24"/>
          <w:szCs w:val="24"/>
        </w:rPr>
        <w:t>езетимібу</w:t>
      </w:r>
      <w:proofErr w:type="spellEnd"/>
      <w:r>
        <w:rPr>
          <w:rFonts w:ascii="Times New Roman" w:hAnsi="Times New Roman"/>
          <w:sz w:val="24"/>
          <w:szCs w:val="24"/>
        </w:rPr>
        <w:t xml:space="preserve"> у пацієнтів з підвищеним ХС ЛПНЩ, які мали в анамнезі непереносимість </w:t>
      </w:r>
      <w:proofErr w:type="spellStart"/>
      <w:r>
        <w:rPr>
          <w:rFonts w:ascii="Times New Roman" w:hAnsi="Times New Roman"/>
          <w:sz w:val="24"/>
          <w:szCs w:val="24"/>
        </w:rPr>
        <w:t>статинів</w:t>
      </w:r>
      <w:proofErr w:type="spellEnd"/>
      <w:r>
        <w:rPr>
          <w:rFonts w:ascii="Times New Roman" w:hAnsi="Times New Roman"/>
          <w:sz w:val="24"/>
          <w:szCs w:val="24"/>
        </w:rPr>
        <w:t xml:space="preserve"> і не могли переносити більше ніж найнижчу схвалену початкову дозу </w:t>
      </w:r>
      <w:proofErr w:type="spellStart"/>
      <w:r>
        <w:rPr>
          <w:rFonts w:ascii="Times New Roman" w:hAnsi="Times New Roman"/>
          <w:sz w:val="24"/>
          <w:szCs w:val="24"/>
        </w:rPr>
        <w:t>статину</w:t>
      </w:r>
      <w:proofErr w:type="spellEnd"/>
      <w:r>
        <w:rPr>
          <w:rFonts w:ascii="Times New Roman" w:hAnsi="Times New Roman"/>
          <w:sz w:val="24"/>
          <w:szCs w:val="24"/>
        </w:rPr>
        <w:t xml:space="preserve">. У дослідженні взяли участь 269 пацієнтів, </w:t>
      </w:r>
      <w:proofErr w:type="spellStart"/>
      <w:r>
        <w:rPr>
          <w:rFonts w:ascii="Times New Roman" w:hAnsi="Times New Roman"/>
          <w:sz w:val="24"/>
          <w:szCs w:val="24"/>
        </w:rPr>
        <w:t>рандомізованих</w:t>
      </w:r>
      <w:proofErr w:type="spellEnd"/>
      <w:r>
        <w:rPr>
          <w:rFonts w:ascii="Times New Roman" w:hAnsi="Times New Roman"/>
          <w:sz w:val="24"/>
          <w:szCs w:val="24"/>
        </w:rPr>
        <w:t xml:space="preserve"> у співвідношенні 2:1 для отримання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(n=181) або плацебо (n=88) як доповнення до </w:t>
      </w:r>
      <w:proofErr w:type="spellStart"/>
      <w:r>
        <w:rPr>
          <w:rFonts w:ascii="Times New Roman" w:hAnsi="Times New Roman"/>
          <w:sz w:val="24"/>
          <w:szCs w:val="24"/>
        </w:rPr>
        <w:t>езетимібу</w:t>
      </w:r>
      <w:proofErr w:type="spellEnd"/>
      <w:r>
        <w:rPr>
          <w:rFonts w:ascii="Times New Roman" w:hAnsi="Times New Roman"/>
          <w:sz w:val="24"/>
          <w:szCs w:val="24"/>
        </w:rPr>
        <w:t xml:space="preserve"> 10 мг щодня протягом 12 тижнів. Загалом середній вік на початку дослідження становив 64 роки (діапазон: від 30 до 86 років), 55 % були віком ≥65 років, 61 % були жінками, 89 % були білими, 8 % - чорношкірими, 2 % - азіатами та 1 % - іншими. Середній початковий рівень ХС ЛПНЩ становив 3,3 </w:t>
      </w:r>
      <w:proofErr w:type="spellStart"/>
      <w:r>
        <w:rPr>
          <w:rFonts w:ascii="Times New Roman" w:hAnsi="Times New Roman"/>
          <w:sz w:val="24"/>
          <w:szCs w:val="24"/>
        </w:rPr>
        <w:t>ммоль</w:t>
      </w:r>
      <w:proofErr w:type="spellEnd"/>
      <w:r>
        <w:rPr>
          <w:rFonts w:ascii="Times New Roman" w:hAnsi="Times New Roman"/>
          <w:sz w:val="24"/>
          <w:szCs w:val="24"/>
        </w:rPr>
        <w:t>/л (127,6 мг/</w:t>
      </w:r>
      <w:proofErr w:type="spellStart"/>
      <w:r>
        <w:rPr>
          <w:rFonts w:ascii="Times New Roman" w:hAnsi="Times New Roman"/>
          <w:sz w:val="24"/>
          <w:szCs w:val="24"/>
        </w:rPr>
        <w:t>дл</w:t>
      </w:r>
      <w:proofErr w:type="spellEnd"/>
      <w:r>
        <w:rPr>
          <w:rFonts w:ascii="Times New Roman" w:hAnsi="Times New Roman"/>
          <w:sz w:val="24"/>
          <w:szCs w:val="24"/>
        </w:rPr>
        <w:t xml:space="preserve">). На момент </w:t>
      </w:r>
      <w:proofErr w:type="spellStart"/>
      <w:r>
        <w:rPr>
          <w:rFonts w:ascii="Times New Roman" w:hAnsi="Times New Roman"/>
          <w:sz w:val="24"/>
          <w:szCs w:val="24"/>
        </w:rPr>
        <w:t>рандомізації</w:t>
      </w:r>
      <w:proofErr w:type="spellEnd"/>
      <w:r>
        <w:rPr>
          <w:rFonts w:ascii="Times New Roman" w:hAnsi="Times New Roman"/>
          <w:sz w:val="24"/>
          <w:szCs w:val="24"/>
        </w:rPr>
        <w:t xml:space="preserve"> 33 % пацієнтів, які отримували </w:t>
      </w:r>
      <w:proofErr w:type="spellStart"/>
      <w:r>
        <w:rPr>
          <w:rFonts w:ascii="Times New Roman" w:hAnsi="Times New Roman"/>
          <w:sz w:val="24"/>
          <w:szCs w:val="24"/>
        </w:rPr>
        <w:t>бемпедоєву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кислоту, проти 28 % пацієнтів, які отримували плацебо, отримували </w:t>
      </w:r>
      <w:proofErr w:type="spellStart"/>
      <w:r>
        <w:rPr>
          <w:rFonts w:ascii="Times New Roman" w:hAnsi="Times New Roman"/>
          <w:sz w:val="24"/>
          <w:szCs w:val="24"/>
        </w:rPr>
        <w:t>статини</w:t>
      </w:r>
      <w:proofErr w:type="spellEnd"/>
      <w:r>
        <w:rPr>
          <w:rFonts w:ascii="Times New Roman" w:hAnsi="Times New Roman"/>
          <w:sz w:val="24"/>
          <w:szCs w:val="24"/>
        </w:rPr>
        <w:t xml:space="preserve"> в дозах, менших або рівних найнижчим затвердженим. 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значно зменшила рівень ХС ЛПНЩ від початкового рівня до 12-го тижня порівняно з плацебо (p &lt;0,001). 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також значно зменшила рівень </w:t>
      </w:r>
      <w:proofErr w:type="spellStart"/>
      <w:r>
        <w:rPr>
          <w:rFonts w:ascii="Times New Roman" w:hAnsi="Times New Roman"/>
          <w:sz w:val="24"/>
          <w:szCs w:val="24"/>
        </w:rPr>
        <w:t>не-ХС</w:t>
      </w:r>
      <w:proofErr w:type="spellEnd"/>
      <w:r>
        <w:rPr>
          <w:rFonts w:ascii="Times New Roman" w:hAnsi="Times New Roman"/>
          <w:sz w:val="24"/>
          <w:szCs w:val="24"/>
        </w:rPr>
        <w:t xml:space="preserve"> ЛПВЩ, </w:t>
      </w:r>
      <w:proofErr w:type="spellStart"/>
      <w:r>
        <w:rPr>
          <w:rFonts w:ascii="Times New Roman" w:hAnsi="Times New Roman"/>
          <w:sz w:val="24"/>
          <w:szCs w:val="24"/>
        </w:rPr>
        <w:t>апо</w:t>
      </w:r>
      <w:proofErr w:type="spellEnd"/>
      <w:r>
        <w:rPr>
          <w:rFonts w:ascii="Times New Roman" w:hAnsi="Times New Roman"/>
          <w:sz w:val="24"/>
          <w:szCs w:val="24"/>
        </w:rPr>
        <w:t xml:space="preserve"> B та ОЦ. CLEAR </w:t>
      </w:r>
      <w:proofErr w:type="spellStart"/>
      <w:r>
        <w:rPr>
          <w:rFonts w:ascii="Times New Roman" w:hAnsi="Times New Roman"/>
          <w:sz w:val="24"/>
          <w:szCs w:val="24"/>
        </w:rPr>
        <w:t>Serenity</w:t>
      </w:r>
      <w:proofErr w:type="spellEnd"/>
      <w:r>
        <w:rPr>
          <w:rFonts w:ascii="Times New Roman" w:hAnsi="Times New Roman"/>
          <w:sz w:val="24"/>
          <w:szCs w:val="24"/>
        </w:rPr>
        <w:t xml:space="preserve"> (дослідження 1002-046) було </w:t>
      </w:r>
      <w:proofErr w:type="spellStart"/>
      <w:r>
        <w:rPr>
          <w:rFonts w:ascii="Times New Roman" w:hAnsi="Times New Roman"/>
          <w:sz w:val="24"/>
          <w:szCs w:val="24"/>
        </w:rPr>
        <w:t>багатоцентровим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рандомізованим</w:t>
      </w:r>
      <w:proofErr w:type="spellEnd"/>
      <w:r>
        <w:rPr>
          <w:rFonts w:ascii="Times New Roman" w:hAnsi="Times New Roman"/>
          <w:sz w:val="24"/>
          <w:szCs w:val="24"/>
        </w:rPr>
        <w:t xml:space="preserve"> подвійним сліпим плацебо-контрольованим 24-тижневим дослідженням первинної </w:t>
      </w:r>
      <w:proofErr w:type="spellStart"/>
      <w:r>
        <w:rPr>
          <w:rFonts w:ascii="Times New Roman" w:hAnsi="Times New Roman"/>
          <w:sz w:val="24"/>
          <w:szCs w:val="24"/>
        </w:rPr>
        <w:t>гіперліпідемії</w:t>
      </w:r>
      <w:proofErr w:type="spellEnd"/>
      <w:r>
        <w:rPr>
          <w:rFonts w:ascii="Times New Roman" w:hAnsi="Times New Roman"/>
          <w:sz w:val="24"/>
          <w:szCs w:val="24"/>
        </w:rPr>
        <w:t xml:space="preserve"> фази 3, яке оцінювало ефективність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порівняно з плацебо у пацієнтів з підвищеним рівнем ХС ЛПНЩ, які мали непереносимість </w:t>
      </w:r>
      <w:proofErr w:type="spellStart"/>
      <w:r>
        <w:rPr>
          <w:rFonts w:ascii="Times New Roman" w:hAnsi="Times New Roman"/>
          <w:sz w:val="24"/>
          <w:szCs w:val="24"/>
        </w:rPr>
        <w:t>статинів</w:t>
      </w:r>
      <w:proofErr w:type="spellEnd"/>
      <w:r>
        <w:rPr>
          <w:rFonts w:ascii="Times New Roman" w:hAnsi="Times New Roman"/>
          <w:sz w:val="24"/>
          <w:szCs w:val="24"/>
        </w:rPr>
        <w:t xml:space="preserve"> або не могли переносити два чи більше </w:t>
      </w:r>
      <w:proofErr w:type="spellStart"/>
      <w:r>
        <w:rPr>
          <w:rFonts w:ascii="Times New Roman" w:hAnsi="Times New Roman"/>
          <w:sz w:val="24"/>
          <w:szCs w:val="24"/>
        </w:rPr>
        <w:t>статинів</w:t>
      </w:r>
      <w:proofErr w:type="spellEnd"/>
      <w:r>
        <w:rPr>
          <w:rFonts w:ascii="Times New Roman" w:hAnsi="Times New Roman"/>
          <w:sz w:val="24"/>
          <w:szCs w:val="24"/>
        </w:rPr>
        <w:t xml:space="preserve">, один з яких у найнижчій дозі. Пацієнтам, які могли переносити дозу, меншу за затверджену початкову дозу </w:t>
      </w:r>
      <w:proofErr w:type="spellStart"/>
      <w:r>
        <w:rPr>
          <w:rFonts w:ascii="Times New Roman" w:hAnsi="Times New Roman"/>
          <w:sz w:val="24"/>
          <w:szCs w:val="24"/>
        </w:rPr>
        <w:t>статину</w:t>
      </w:r>
      <w:proofErr w:type="spellEnd"/>
      <w:r>
        <w:rPr>
          <w:rFonts w:ascii="Times New Roman" w:hAnsi="Times New Roman"/>
          <w:sz w:val="24"/>
          <w:szCs w:val="24"/>
        </w:rPr>
        <w:t xml:space="preserve">, дозволялося продовжувати прийом цієї дози протягом дослідження. Ефективність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оцінювали на 12-му тижні. У дослідженні взяли участь 345 пацієнтів, </w:t>
      </w:r>
      <w:proofErr w:type="spellStart"/>
      <w:r>
        <w:rPr>
          <w:rFonts w:ascii="Times New Roman" w:hAnsi="Times New Roman"/>
          <w:sz w:val="24"/>
          <w:szCs w:val="24"/>
        </w:rPr>
        <w:t>рандомізованих</w:t>
      </w:r>
      <w:proofErr w:type="spellEnd"/>
      <w:r>
        <w:rPr>
          <w:rFonts w:ascii="Times New Roman" w:hAnsi="Times New Roman"/>
          <w:sz w:val="24"/>
          <w:szCs w:val="24"/>
        </w:rPr>
        <w:t xml:space="preserve"> у співвідношенні 2:1 для отримання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(n=234) або плацебо (n=111) протягом 24 тижнів. На момент </w:t>
      </w:r>
      <w:proofErr w:type="spellStart"/>
      <w:r>
        <w:rPr>
          <w:rFonts w:ascii="Times New Roman" w:hAnsi="Times New Roman"/>
          <w:sz w:val="24"/>
          <w:szCs w:val="24"/>
        </w:rPr>
        <w:t>рандомізації</w:t>
      </w:r>
      <w:proofErr w:type="spellEnd"/>
      <w:r>
        <w:rPr>
          <w:rFonts w:ascii="Times New Roman" w:hAnsi="Times New Roman"/>
          <w:sz w:val="24"/>
          <w:szCs w:val="24"/>
        </w:rPr>
        <w:t xml:space="preserve"> 8 % пацієнтів, які отримували </w:t>
      </w:r>
      <w:proofErr w:type="spellStart"/>
      <w:r>
        <w:rPr>
          <w:rFonts w:ascii="Times New Roman" w:hAnsi="Times New Roman"/>
          <w:sz w:val="24"/>
          <w:szCs w:val="24"/>
        </w:rPr>
        <w:t>бемпедоєву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кислоту, порівняно з 10 % пацієнтів, які отримували плацебо, отримували </w:t>
      </w:r>
      <w:proofErr w:type="spellStart"/>
      <w:r>
        <w:rPr>
          <w:rFonts w:ascii="Times New Roman" w:hAnsi="Times New Roman"/>
          <w:sz w:val="24"/>
          <w:szCs w:val="24"/>
        </w:rPr>
        <w:t>статини</w:t>
      </w:r>
      <w:proofErr w:type="spellEnd"/>
      <w:r>
        <w:rPr>
          <w:rFonts w:ascii="Times New Roman" w:hAnsi="Times New Roman"/>
          <w:sz w:val="24"/>
          <w:szCs w:val="24"/>
        </w:rPr>
        <w:t xml:space="preserve"> в дозах, нижчих за найнижчі затверджені, а 36 % пацієнтів, які отримували </w:t>
      </w:r>
      <w:proofErr w:type="spellStart"/>
      <w:r>
        <w:rPr>
          <w:rFonts w:ascii="Times New Roman" w:hAnsi="Times New Roman"/>
          <w:sz w:val="24"/>
          <w:szCs w:val="24"/>
        </w:rPr>
        <w:t>бемпедоєву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кислоту, порівняно з 30 % пацієнтів, які отримували плацебо, отримували інші </w:t>
      </w:r>
      <w:proofErr w:type="spellStart"/>
      <w:r>
        <w:rPr>
          <w:rFonts w:ascii="Times New Roman" w:hAnsi="Times New Roman"/>
          <w:sz w:val="24"/>
          <w:szCs w:val="24"/>
        </w:rPr>
        <w:t>ліпідомодифікуючі</w:t>
      </w:r>
      <w:proofErr w:type="spellEnd"/>
      <w:r>
        <w:rPr>
          <w:rFonts w:ascii="Times New Roman" w:hAnsi="Times New Roman"/>
          <w:sz w:val="24"/>
          <w:szCs w:val="24"/>
        </w:rPr>
        <w:t xml:space="preserve"> засоби, не пов'язані зі </w:t>
      </w:r>
      <w:proofErr w:type="spellStart"/>
      <w:r>
        <w:rPr>
          <w:rFonts w:ascii="Times New Roman" w:hAnsi="Times New Roman"/>
          <w:sz w:val="24"/>
          <w:szCs w:val="24"/>
        </w:rPr>
        <w:t>статинами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Загалом середній вік на початку дослідження становив 65 років (діапазон: від 26 до 88 років), 58 % були віком ≥65 років, 56 % були жінками, 89 % були білими, 8 % - чорношкірими, 2 % - азіатами та 1 % - іншими. Середній початковий рівень холестерину ЛПНЩ становив 4,1 </w:t>
      </w:r>
      <w:proofErr w:type="spellStart"/>
      <w:r>
        <w:rPr>
          <w:rFonts w:ascii="Times New Roman" w:hAnsi="Times New Roman"/>
          <w:sz w:val="24"/>
          <w:szCs w:val="24"/>
        </w:rPr>
        <w:t>ммоль</w:t>
      </w:r>
      <w:proofErr w:type="spellEnd"/>
      <w:r>
        <w:rPr>
          <w:rFonts w:ascii="Times New Roman" w:hAnsi="Times New Roman"/>
          <w:sz w:val="24"/>
          <w:szCs w:val="24"/>
        </w:rPr>
        <w:t>/л (157,6 мг/</w:t>
      </w:r>
      <w:proofErr w:type="spellStart"/>
      <w:r>
        <w:rPr>
          <w:rFonts w:ascii="Times New Roman" w:hAnsi="Times New Roman"/>
          <w:sz w:val="24"/>
          <w:szCs w:val="24"/>
        </w:rPr>
        <w:t>дл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значно зменшила рівень ЛПНЩ від початкового рівня до 12-го тижня порівняно з плацебо (p &lt;0,001). 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також значно зменшила рівень </w:t>
      </w:r>
      <w:proofErr w:type="spellStart"/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noBreakHyphen/>
        <w:t>ЛПВЩ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апо</w:t>
      </w:r>
      <w:proofErr w:type="spellEnd"/>
      <w:r>
        <w:rPr>
          <w:rFonts w:ascii="Times New Roman" w:hAnsi="Times New Roman"/>
          <w:sz w:val="24"/>
          <w:szCs w:val="24"/>
        </w:rPr>
        <w:t xml:space="preserve"> B та TC.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Лікування за відсутності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ліпідомодифікуючої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терапії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 дослідженні CLEAR </w:t>
      </w:r>
      <w:proofErr w:type="spellStart"/>
      <w:r>
        <w:rPr>
          <w:rFonts w:ascii="Times New Roman" w:hAnsi="Times New Roman"/>
          <w:sz w:val="24"/>
          <w:szCs w:val="24"/>
        </w:rPr>
        <w:t>Serenity</w:t>
      </w:r>
      <w:proofErr w:type="spellEnd"/>
      <w:r>
        <w:rPr>
          <w:rFonts w:ascii="Times New Roman" w:hAnsi="Times New Roman"/>
          <w:sz w:val="24"/>
          <w:szCs w:val="24"/>
        </w:rPr>
        <w:t xml:space="preserve"> (дослідження 1002-046) 133 пацієнти в групі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та 67 пацієнтів у групі плацебо не отримували фонової </w:t>
      </w:r>
      <w:proofErr w:type="spellStart"/>
      <w:r>
        <w:rPr>
          <w:rFonts w:ascii="Times New Roman" w:hAnsi="Times New Roman"/>
          <w:sz w:val="24"/>
          <w:szCs w:val="24"/>
        </w:rPr>
        <w:t>ліпідомодифікуючої</w:t>
      </w:r>
      <w:proofErr w:type="spellEnd"/>
      <w:r>
        <w:rPr>
          <w:rFonts w:ascii="Times New Roman" w:hAnsi="Times New Roman"/>
          <w:sz w:val="24"/>
          <w:szCs w:val="24"/>
        </w:rPr>
        <w:t xml:space="preserve"> терапії. 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значно зменшила рівень ХС ЛПНЩ від початкового рівня до 12-го тижня порівняно з плацебо в цій підгрупі. Різниця між </w:t>
      </w:r>
      <w:proofErr w:type="spellStart"/>
      <w:r>
        <w:rPr>
          <w:rFonts w:ascii="Times New Roman" w:hAnsi="Times New Roman"/>
          <w:sz w:val="24"/>
          <w:szCs w:val="24"/>
        </w:rPr>
        <w:t>бемпедоєвою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кислотою та плацебо в середній відсотковій зміні ХС ЛПНЩ від початкового рівня до 12-го тижня становила -22,1 % (ДІ: -26,8 %, -17,4 %; p &lt;0,001).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 всіх чотирьох дослідженнях максимальний ефект зниження рівня ХС ЛПНЩ спостерігався вже на 4-му тижні, і ефективність зберігалася протягом усіх досліджень. Ці результати були однаковими для всіх підгруп, що досліджувалися в будь-якому з досліджень, включаючи вік, стать, расу, етнічну приналежність, регіон, історію діабету, початковий рівень ХС ЛПНЩ, індекс маси тіла (ІМТ), статус </w:t>
      </w:r>
      <w:proofErr w:type="spellStart"/>
      <w:r>
        <w:rPr>
          <w:rFonts w:ascii="Times New Roman" w:hAnsi="Times New Roman"/>
          <w:sz w:val="24"/>
          <w:szCs w:val="24"/>
        </w:rPr>
        <w:t>гемофільтр-гемолітичної</w:t>
      </w:r>
      <w:proofErr w:type="spellEnd"/>
      <w:r>
        <w:rPr>
          <w:rFonts w:ascii="Times New Roman" w:hAnsi="Times New Roman"/>
          <w:sz w:val="24"/>
          <w:szCs w:val="24"/>
        </w:rPr>
        <w:t xml:space="preserve"> гіперактивності (</w:t>
      </w:r>
      <w:proofErr w:type="spellStart"/>
      <w:r>
        <w:rPr>
          <w:rFonts w:ascii="Times New Roman" w:hAnsi="Times New Roman"/>
          <w:sz w:val="24"/>
          <w:szCs w:val="24"/>
        </w:rPr>
        <w:t>HeFH</w:t>
      </w:r>
      <w:proofErr w:type="spellEnd"/>
      <w:r>
        <w:rPr>
          <w:rFonts w:ascii="Times New Roman" w:hAnsi="Times New Roman"/>
          <w:sz w:val="24"/>
          <w:szCs w:val="24"/>
        </w:rPr>
        <w:t>) та фонову терапію.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Клінічна ефективність та безпека у профілактиці серцево-судинних подій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Дослідження CLEAR </w:t>
      </w:r>
      <w:proofErr w:type="spellStart"/>
      <w:r>
        <w:rPr>
          <w:rFonts w:ascii="Times New Roman" w:hAnsi="Times New Roman"/>
          <w:sz w:val="24"/>
          <w:szCs w:val="24"/>
        </w:rPr>
        <w:t>Outcomes</w:t>
      </w:r>
      <w:proofErr w:type="spellEnd"/>
      <w:r>
        <w:rPr>
          <w:rFonts w:ascii="Times New Roman" w:hAnsi="Times New Roman"/>
          <w:sz w:val="24"/>
          <w:szCs w:val="24"/>
        </w:rPr>
        <w:t xml:space="preserve"> (дослідження 1002-043) було </w:t>
      </w:r>
      <w:proofErr w:type="spellStart"/>
      <w:r>
        <w:rPr>
          <w:rFonts w:ascii="Times New Roman" w:hAnsi="Times New Roman"/>
          <w:sz w:val="24"/>
          <w:szCs w:val="24"/>
        </w:rPr>
        <w:t>багатоцентровим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рандомізованим</w:t>
      </w:r>
      <w:proofErr w:type="spellEnd"/>
      <w:r>
        <w:rPr>
          <w:rFonts w:ascii="Times New Roman" w:hAnsi="Times New Roman"/>
          <w:sz w:val="24"/>
          <w:szCs w:val="24"/>
        </w:rPr>
        <w:t xml:space="preserve"> подвійним сліпим плацебо-контрольованим подіями-орієнтованим дослідженням з участю 13970 дорослих пацієнтів з встановленим атеросклеротичним серцево-судинним захворюванням (ССЗ) (70 %) або з високим ризиком атеросклеротичного ССЗ (30 %). Пацієнти зі встановленим ССЗ мали в анамнезі документально підтверджену ішемічну хворобу серця, симптоматичне захворювання периферичних артерій та/або </w:t>
      </w:r>
      <w:proofErr w:type="spellStart"/>
      <w:r>
        <w:rPr>
          <w:rFonts w:ascii="Times New Roman" w:hAnsi="Times New Roman"/>
          <w:sz w:val="24"/>
          <w:szCs w:val="24"/>
        </w:rPr>
        <w:lastRenderedPageBreak/>
        <w:t>цереброваскулярне</w:t>
      </w:r>
      <w:proofErr w:type="spellEnd"/>
      <w:r>
        <w:rPr>
          <w:rFonts w:ascii="Times New Roman" w:hAnsi="Times New Roman"/>
          <w:sz w:val="24"/>
          <w:szCs w:val="24"/>
        </w:rPr>
        <w:t xml:space="preserve"> атеросклеротичне захворювання. Пацієнти без встановленого ССЗ вважалися такими, що мають високий ризик ССЗ, на основі відповідності принаймні одному з наступних критеріїв: (1) цукровий діабет (1 або 2 типу) у жінок віком від 65 років або чоловіків віком від 60 років, або (2) бал ризику за шкалою </w:t>
      </w:r>
      <w:proofErr w:type="spellStart"/>
      <w:r>
        <w:rPr>
          <w:rFonts w:ascii="Times New Roman" w:hAnsi="Times New Roman"/>
          <w:sz w:val="24"/>
          <w:szCs w:val="24"/>
        </w:rPr>
        <w:t>Рейнольдса</w:t>
      </w:r>
      <w:proofErr w:type="spellEnd"/>
      <w:r>
        <w:rPr>
          <w:rFonts w:ascii="Times New Roman" w:hAnsi="Times New Roman"/>
          <w:sz w:val="24"/>
          <w:szCs w:val="24"/>
        </w:rPr>
        <w:t xml:space="preserve"> &gt;30 % або бал ризику SCORE &gt;7,5 % протягом 10 років, або 3) бал кальцію коронарних артерій &gt;400 одиниць </w:t>
      </w:r>
      <w:proofErr w:type="spellStart"/>
      <w:r>
        <w:rPr>
          <w:rFonts w:ascii="Times New Roman" w:hAnsi="Times New Roman"/>
          <w:sz w:val="24"/>
          <w:szCs w:val="24"/>
        </w:rPr>
        <w:t>Агатстона</w:t>
      </w:r>
      <w:proofErr w:type="spellEnd"/>
      <w:r>
        <w:rPr>
          <w:rFonts w:ascii="Times New Roman" w:hAnsi="Times New Roman"/>
          <w:sz w:val="24"/>
          <w:szCs w:val="24"/>
        </w:rPr>
        <w:t xml:space="preserve"> в будь-який час у минулому. Пацієнтів було </w:t>
      </w:r>
      <w:proofErr w:type="spellStart"/>
      <w:r>
        <w:rPr>
          <w:rFonts w:ascii="Times New Roman" w:hAnsi="Times New Roman"/>
          <w:sz w:val="24"/>
          <w:szCs w:val="24"/>
        </w:rPr>
        <w:t>рандомізовано</w:t>
      </w:r>
      <w:proofErr w:type="spellEnd"/>
      <w:r>
        <w:rPr>
          <w:rFonts w:ascii="Times New Roman" w:hAnsi="Times New Roman"/>
          <w:sz w:val="24"/>
          <w:szCs w:val="24"/>
        </w:rPr>
        <w:t xml:space="preserve"> у співвідношенні 1:1 для отримання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180 мг на добу (n = 6992) або плацебо (n = 6978) окремо або як доповнення до інших базових </w:t>
      </w:r>
      <w:proofErr w:type="spellStart"/>
      <w:r>
        <w:rPr>
          <w:rFonts w:ascii="Times New Roman" w:hAnsi="Times New Roman"/>
          <w:sz w:val="24"/>
          <w:szCs w:val="24"/>
        </w:rPr>
        <w:t>ліпідознижувальних</w:t>
      </w:r>
      <w:proofErr w:type="spellEnd"/>
      <w:r>
        <w:rPr>
          <w:rFonts w:ascii="Times New Roman" w:hAnsi="Times New Roman"/>
          <w:sz w:val="24"/>
          <w:szCs w:val="24"/>
        </w:rPr>
        <w:t xml:space="preserve"> засобів, які могли включати дуже низькі дози </w:t>
      </w:r>
      <w:proofErr w:type="spellStart"/>
      <w:r>
        <w:rPr>
          <w:rFonts w:ascii="Times New Roman" w:hAnsi="Times New Roman"/>
          <w:sz w:val="24"/>
          <w:szCs w:val="24"/>
        </w:rPr>
        <w:t>статинів</w:t>
      </w:r>
      <w:proofErr w:type="spellEnd"/>
      <w:r>
        <w:rPr>
          <w:rFonts w:ascii="Times New Roman" w:hAnsi="Times New Roman"/>
          <w:sz w:val="24"/>
          <w:szCs w:val="24"/>
        </w:rPr>
        <w:t>. Загалом, понад 95 % пацієнтів перебували під наглядом до кінця дослідження або летального наслідку, і менше 1 % були втрачені з подальшого спостереження. Медіана тривалості спостереження становила 3,4 року.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початку дослідження середній вік становив 65,5 року, 48 % становили жінки, 91 % – білі. Вибрані додаткові початкові характеристики включали гіпертензію (85 %), цукровий діабет (46 %), переддіабет (42 %), куріння тютюну (22 %), </w:t>
      </w:r>
      <w:proofErr w:type="spellStart"/>
      <w:r>
        <w:rPr>
          <w:rFonts w:ascii="Times New Roman" w:hAnsi="Times New Roman"/>
          <w:sz w:val="24"/>
          <w:szCs w:val="24"/>
        </w:rPr>
        <w:t>рШКФ</w:t>
      </w:r>
      <w:proofErr w:type="spellEnd"/>
      <w:r>
        <w:rPr>
          <w:rFonts w:ascii="Times New Roman" w:hAnsi="Times New Roman"/>
          <w:sz w:val="24"/>
          <w:szCs w:val="24"/>
        </w:rPr>
        <w:t xml:space="preserve"> &lt;60 </w:t>
      </w:r>
      <w:proofErr w:type="spellStart"/>
      <w:r>
        <w:rPr>
          <w:rFonts w:ascii="Times New Roman" w:hAnsi="Times New Roman"/>
          <w:sz w:val="24"/>
          <w:szCs w:val="24"/>
        </w:rPr>
        <w:t>мл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хв</w:t>
      </w:r>
      <w:proofErr w:type="spellEnd"/>
      <w:r>
        <w:rPr>
          <w:rFonts w:ascii="Times New Roman" w:hAnsi="Times New Roman"/>
          <w:sz w:val="24"/>
          <w:szCs w:val="24"/>
        </w:rPr>
        <w:t xml:space="preserve"> на 1,73 м² (21 %) та середній індекс маси тіла 29,9 кг/м². Середній початковий рівень ХС ЛПНЩ становив 3,6 </w:t>
      </w:r>
      <w:proofErr w:type="spellStart"/>
      <w:r>
        <w:rPr>
          <w:rFonts w:ascii="Times New Roman" w:hAnsi="Times New Roman"/>
          <w:sz w:val="24"/>
          <w:szCs w:val="24"/>
        </w:rPr>
        <w:t>ммоль</w:t>
      </w:r>
      <w:proofErr w:type="spellEnd"/>
      <w:r>
        <w:rPr>
          <w:rFonts w:ascii="Times New Roman" w:hAnsi="Times New Roman"/>
          <w:sz w:val="24"/>
          <w:szCs w:val="24"/>
        </w:rPr>
        <w:t>/л (139 мг/</w:t>
      </w:r>
      <w:proofErr w:type="spellStart"/>
      <w:r>
        <w:rPr>
          <w:rFonts w:ascii="Times New Roman" w:hAnsi="Times New Roman"/>
          <w:sz w:val="24"/>
          <w:szCs w:val="24"/>
        </w:rPr>
        <w:t>дл</w:t>
      </w:r>
      <w:proofErr w:type="spellEnd"/>
      <w:r>
        <w:rPr>
          <w:rFonts w:ascii="Times New Roman" w:hAnsi="Times New Roman"/>
          <w:sz w:val="24"/>
          <w:szCs w:val="24"/>
        </w:rPr>
        <w:t xml:space="preserve">). На початку дослідження 41 % пацієнтів приймали принаймні одну </w:t>
      </w:r>
      <w:proofErr w:type="spellStart"/>
      <w:r>
        <w:rPr>
          <w:rFonts w:ascii="Times New Roman" w:hAnsi="Times New Roman"/>
          <w:sz w:val="24"/>
          <w:szCs w:val="24"/>
        </w:rPr>
        <w:t>ліпідомодифікуючу</w:t>
      </w:r>
      <w:proofErr w:type="spellEnd"/>
      <w:r>
        <w:rPr>
          <w:rFonts w:ascii="Times New Roman" w:hAnsi="Times New Roman"/>
          <w:sz w:val="24"/>
          <w:szCs w:val="24"/>
        </w:rPr>
        <w:t xml:space="preserve"> терапію, включаючи </w:t>
      </w:r>
      <w:proofErr w:type="spellStart"/>
      <w:r>
        <w:rPr>
          <w:rFonts w:ascii="Times New Roman" w:hAnsi="Times New Roman"/>
          <w:sz w:val="24"/>
          <w:szCs w:val="24"/>
        </w:rPr>
        <w:t>езетиміб</w:t>
      </w:r>
      <w:proofErr w:type="spellEnd"/>
      <w:r>
        <w:rPr>
          <w:rFonts w:ascii="Times New Roman" w:hAnsi="Times New Roman"/>
          <w:sz w:val="24"/>
          <w:szCs w:val="24"/>
        </w:rPr>
        <w:t xml:space="preserve"> (12 %), та дуже низьку дозу </w:t>
      </w:r>
      <w:proofErr w:type="spellStart"/>
      <w:r>
        <w:rPr>
          <w:rFonts w:ascii="Times New Roman" w:hAnsi="Times New Roman"/>
          <w:sz w:val="24"/>
          <w:szCs w:val="24"/>
        </w:rPr>
        <w:t>статинів</w:t>
      </w:r>
      <w:proofErr w:type="spellEnd"/>
      <w:r>
        <w:rPr>
          <w:rFonts w:ascii="Times New Roman" w:hAnsi="Times New Roman"/>
          <w:sz w:val="24"/>
          <w:szCs w:val="24"/>
        </w:rPr>
        <w:t xml:space="preserve"> (23 %). 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значно зменшив ризик первинної складової кінцевої точки основних несприятливих серцево-судинних подій (MACE-4), що складається з серцево-судинної смерті, </w:t>
      </w:r>
      <w:proofErr w:type="spellStart"/>
      <w:r>
        <w:rPr>
          <w:rFonts w:ascii="Times New Roman" w:hAnsi="Times New Roman"/>
          <w:sz w:val="24"/>
          <w:szCs w:val="24"/>
        </w:rPr>
        <w:t>нелетального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інфаркту міокарда, </w:t>
      </w:r>
      <w:proofErr w:type="spellStart"/>
      <w:r>
        <w:rPr>
          <w:rFonts w:ascii="Times New Roman" w:hAnsi="Times New Roman"/>
          <w:sz w:val="24"/>
          <w:szCs w:val="24"/>
        </w:rPr>
        <w:t>нелетального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інсульту або коронарної </w:t>
      </w:r>
      <w:proofErr w:type="spellStart"/>
      <w:r>
        <w:rPr>
          <w:rFonts w:ascii="Times New Roman" w:hAnsi="Times New Roman"/>
          <w:sz w:val="24"/>
          <w:szCs w:val="24"/>
        </w:rPr>
        <w:t>реваскуляризації</w:t>
      </w:r>
      <w:proofErr w:type="spellEnd"/>
      <w:r>
        <w:rPr>
          <w:rFonts w:ascii="Times New Roman" w:hAnsi="Times New Roman"/>
          <w:sz w:val="24"/>
          <w:szCs w:val="24"/>
        </w:rPr>
        <w:t xml:space="preserve">, на 13 % порівняно з плацебо (співвідношення ризиків: 0,87; 95 % ДІ: 0,79, 0,96; p = 0,0037); а ризик ключової вторинної складової кінцевої точки MACE-3 (серцево-судинна смерть, </w:t>
      </w:r>
      <w:proofErr w:type="spellStart"/>
      <w:r>
        <w:rPr>
          <w:rFonts w:ascii="Times New Roman" w:hAnsi="Times New Roman"/>
          <w:sz w:val="24"/>
          <w:szCs w:val="24"/>
        </w:rPr>
        <w:t>нелетальний</w:t>
      </w:r>
      <w:proofErr w:type="spellEnd"/>
      <w:r>
        <w:rPr>
          <w:rFonts w:ascii="Times New Roman" w:hAnsi="Times New Roman"/>
          <w:sz w:val="24"/>
          <w:szCs w:val="24"/>
        </w:rPr>
        <w:t xml:space="preserve"> інфаркт міокарда або </w:t>
      </w:r>
      <w:proofErr w:type="spellStart"/>
      <w:r>
        <w:rPr>
          <w:rFonts w:ascii="Times New Roman" w:hAnsi="Times New Roman"/>
          <w:sz w:val="24"/>
          <w:szCs w:val="24"/>
        </w:rPr>
        <w:t>нелетальний</w:t>
      </w:r>
      <w:proofErr w:type="spellEnd"/>
      <w:r>
        <w:rPr>
          <w:rFonts w:ascii="Times New Roman" w:hAnsi="Times New Roman"/>
          <w:sz w:val="24"/>
          <w:szCs w:val="24"/>
        </w:rPr>
        <w:t xml:space="preserve"> інсульт) був значно зменшений на 15 % порівняно з плацебо (співвідношення ризиків: 0,85; 95 % ДІ: 0,76, 0,96; p = 0,0058). Результат первинної складової кінцевої точки був загалом узгодженим у попередньо визначених підгрупах (включаючи початковий вік, расу, етнічну приналежність, стать, категорію ЛПНЩ, застосування </w:t>
      </w:r>
      <w:proofErr w:type="spellStart"/>
      <w:r>
        <w:rPr>
          <w:rFonts w:ascii="Times New Roman" w:hAnsi="Times New Roman"/>
          <w:sz w:val="24"/>
          <w:szCs w:val="24"/>
        </w:rPr>
        <w:t>статинів</w:t>
      </w:r>
      <w:proofErr w:type="spellEnd"/>
      <w:r>
        <w:rPr>
          <w:rFonts w:ascii="Times New Roman" w:hAnsi="Times New Roman"/>
          <w:sz w:val="24"/>
          <w:szCs w:val="24"/>
        </w:rPr>
        <w:t xml:space="preserve">, застосування </w:t>
      </w:r>
      <w:proofErr w:type="spellStart"/>
      <w:r>
        <w:rPr>
          <w:rFonts w:ascii="Times New Roman" w:hAnsi="Times New Roman"/>
          <w:sz w:val="24"/>
          <w:szCs w:val="24"/>
        </w:rPr>
        <w:t>езетимібу</w:t>
      </w:r>
      <w:proofErr w:type="spellEnd"/>
      <w:r>
        <w:rPr>
          <w:rFonts w:ascii="Times New Roman" w:hAnsi="Times New Roman"/>
          <w:sz w:val="24"/>
          <w:szCs w:val="24"/>
        </w:rPr>
        <w:t xml:space="preserve"> та діабет). Вплив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на окремі компоненти первинної кінцевої точки включав зниження ризику </w:t>
      </w:r>
      <w:proofErr w:type="spellStart"/>
      <w:r>
        <w:rPr>
          <w:rFonts w:ascii="Times New Roman" w:hAnsi="Times New Roman"/>
          <w:sz w:val="24"/>
          <w:szCs w:val="24"/>
        </w:rPr>
        <w:t>нелетального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інфаркту міокарда на 27 % та зниження ризику коронарної </w:t>
      </w:r>
      <w:proofErr w:type="spellStart"/>
      <w:r>
        <w:rPr>
          <w:rFonts w:ascii="Times New Roman" w:hAnsi="Times New Roman"/>
          <w:sz w:val="24"/>
          <w:szCs w:val="24"/>
        </w:rPr>
        <w:t>реваскуляризації</w:t>
      </w:r>
      <w:proofErr w:type="spellEnd"/>
      <w:r>
        <w:rPr>
          <w:rFonts w:ascii="Times New Roman" w:hAnsi="Times New Roman"/>
          <w:sz w:val="24"/>
          <w:szCs w:val="24"/>
        </w:rPr>
        <w:t xml:space="preserve"> на 19 % порівняно з плацебо. Не було виявлено статистично значущої різниці у зниженні </w:t>
      </w:r>
      <w:proofErr w:type="spellStart"/>
      <w:r>
        <w:rPr>
          <w:rFonts w:ascii="Times New Roman" w:hAnsi="Times New Roman"/>
          <w:sz w:val="24"/>
          <w:szCs w:val="24"/>
        </w:rPr>
        <w:t>нелетального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інсульту та ризику серцево-судинної смерті порівняно з плацебо. Результати первинних та ключових вторинних кінцевих точок ефективності наведено в таблиці нижче. Оцінки кривої </w:t>
      </w:r>
      <w:proofErr w:type="spellStart"/>
      <w:r>
        <w:rPr>
          <w:rFonts w:ascii="Times New Roman" w:hAnsi="Times New Roman"/>
          <w:sz w:val="24"/>
          <w:szCs w:val="24"/>
        </w:rPr>
        <w:t>Каплана-Мейєра</w:t>
      </w:r>
      <w:proofErr w:type="spellEnd"/>
      <w:r>
        <w:rPr>
          <w:rFonts w:ascii="Times New Roman" w:hAnsi="Times New Roman"/>
          <w:sz w:val="24"/>
          <w:szCs w:val="24"/>
        </w:rPr>
        <w:t xml:space="preserve"> щодо кумулятивної частоти первинної та вторинної кінцевих точок MACE-3 наведено на рисунках 1 та 2 нижче. Кумулятивна частота первинної кінцевої точки MACE-4 розділена 6-м місяцем.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Крім того, різниця між </w:t>
      </w:r>
      <w:proofErr w:type="spellStart"/>
      <w:r>
        <w:rPr>
          <w:rFonts w:ascii="Times New Roman" w:hAnsi="Times New Roman"/>
          <w:sz w:val="24"/>
          <w:szCs w:val="24"/>
        </w:rPr>
        <w:t>бемпедоєвою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кислотою та плацебо в середній відсотковій зміні рівня ЛПНЩ від початкового рівня до 6-го місяця становила -20 % (95 % ДІ: -21 %, -19 %).</w:t>
      </w:r>
      <w:r>
        <w:rPr>
          <w:rFonts w:ascii="Times New Roman" w:hAnsi="Times New Roman"/>
          <w:bCs/>
          <w:sz w:val="24"/>
          <w:szCs w:val="24"/>
        </w:rPr>
        <w:t xml:space="preserve"> Вплив </w:t>
      </w:r>
      <w:proofErr w:type="spellStart"/>
      <w:r>
        <w:rPr>
          <w:rFonts w:ascii="Times New Roman" w:hAnsi="Times New Roman"/>
          <w:bCs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кислоти на серйозні серцево-судинні події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2"/>
        <w:gridCol w:w="1808"/>
        <w:gridCol w:w="1094"/>
        <w:gridCol w:w="1951"/>
      </w:tblGrid>
      <w:tr w:rsidR="00686652" w:rsidTr="00686652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Кінцева точка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Бемпедоєва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кислота N=6 992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Плацебо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N=6978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Бемпедоєва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кислота проти плацебо</w:t>
            </w:r>
          </w:p>
        </w:tc>
      </w:tr>
      <w:tr w:rsidR="00686652" w:rsidTr="0068665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52" w:rsidRDefault="00686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Коефіцієнт ризику 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a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(95 % ДІ)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-значення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686652" w:rsidTr="00686652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Первинна складена кінцева точка</w:t>
            </w:r>
          </w:p>
        </w:tc>
      </w:tr>
      <w:tr w:rsidR="00686652" w:rsidTr="0068665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Летальний наслідок від серцево-судинних захворювань,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нелетальний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інфаркт міокарда,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нелетальний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інсульт, коронарна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реваскуляризація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(MACE</w:t>
            </w:r>
            <w:r>
              <w:rPr>
                <w:rFonts w:ascii="Times New Roman" w:hAnsi="Times New Roman"/>
                <w:sz w:val="24"/>
                <w:szCs w:val="24"/>
              </w:rPr>
              <w:noBreakHyphen/>
              <w:t>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819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(11,7)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927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(13,3)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0,87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(0,79, 0,96)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0,0037</w:t>
            </w:r>
          </w:p>
        </w:tc>
      </w:tr>
      <w:tr w:rsidR="00686652" w:rsidTr="00686652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Компоненти первинної кінцевої точки</w:t>
            </w:r>
          </w:p>
        </w:tc>
      </w:tr>
      <w:tr w:rsidR="00686652" w:rsidTr="0068665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Нелетальний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інфаркт міокарда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(3,4)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(4,5)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0,73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(0,62, 0,87)</w:t>
            </w:r>
          </w:p>
        </w:tc>
      </w:tr>
      <w:tr w:rsidR="00686652" w:rsidTr="0068665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Коронарна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реваскуляризація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(6,2)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529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(7,6)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0,81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(0,72, 0,92)</w:t>
            </w:r>
          </w:p>
        </w:tc>
      </w:tr>
      <w:tr w:rsidR="00686652" w:rsidTr="0068665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Нелетальний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інсульт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(1,7)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(2,1)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0,82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(0,64, 1,05)</w:t>
            </w:r>
          </w:p>
        </w:tc>
      </w:tr>
      <w:tr w:rsidR="00686652" w:rsidTr="0068665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Летальний наслідок від серцево-судинних захворювань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269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(3,8)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257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(3,7)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1.04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(0,88, 1,24)</w:t>
            </w:r>
          </w:p>
        </w:tc>
      </w:tr>
      <w:tr w:rsidR="00686652" w:rsidTr="00686652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Ключові вторинні кінцеві точки</w:t>
            </w:r>
          </w:p>
        </w:tc>
      </w:tr>
      <w:tr w:rsidR="00686652" w:rsidTr="0068665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Летальний наслідок від серцево-судинних захворювань,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нелетальний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інфаркт міокарда,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нелетальний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інсульт (MACE-3)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575 (8,2)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 (9,5)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0,85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(0,76, 0,96)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0,0058</w:t>
            </w:r>
          </w:p>
        </w:tc>
      </w:tr>
      <w:tr w:rsidR="00686652" w:rsidTr="0068665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Летальний 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нелетальний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інфаркт міокарда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 (3,7)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 (4,8)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0,77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(0,66, 0,91)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0,0016</w:t>
            </w:r>
          </w:p>
        </w:tc>
      </w:tr>
      <w:tr w:rsidR="00686652" w:rsidTr="0068665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Коронарна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реваскуляризація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 (6,2)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529 (7,6)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0,81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(0,72, 0,92)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0,0013</w:t>
            </w:r>
          </w:p>
        </w:tc>
      </w:tr>
      <w:tr w:rsidR="00686652" w:rsidTr="0068665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Летальний 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нелетальний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інсульт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 (1,9)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 (2,3)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0,85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(0,67, 1,07)</w:t>
            </w:r>
          </w:p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НС</w:t>
            </w:r>
          </w:p>
        </w:tc>
      </w:tr>
    </w:tbl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ДІ = довірчий інтервал; MACE = серйозна несприятлива серцево-судинна подія; NS = незначне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vertAlign w:val="superscript"/>
        </w:rPr>
        <w:t>a.</w:t>
      </w:r>
      <w:r>
        <w:rPr>
          <w:rFonts w:ascii="Times New Roman" w:hAnsi="Times New Roman"/>
          <w:szCs w:val="24"/>
        </w:rPr>
        <w:t xml:space="preserve"> Коефіцієнт ризику та відповідний 95 % ДІ базувалися на пропорційній моделі ризику </w:t>
      </w:r>
      <w:proofErr w:type="spellStart"/>
      <w:r>
        <w:rPr>
          <w:rFonts w:ascii="Times New Roman" w:hAnsi="Times New Roman"/>
          <w:szCs w:val="24"/>
        </w:rPr>
        <w:t>Кокса</w:t>
      </w:r>
      <w:proofErr w:type="spellEnd"/>
      <w:r>
        <w:rPr>
          <w:rFonts w:ascii="Times New Roman" w:hAnsi="Times New Roman"/>
          <w:szCs w:val="24"/>
        </w:rPr>
        <w:t>, що використовувалася як пояснювальна змінна.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vertAlign w:val="superscript"/>
        </w:rPr>
        <w:t>b.</w:t>
      </w:r>
      <w:r>
        <w:rPr>
          <w:rFonts w:ascii="Times New Roman" w:hAnsi="Times New Roman"/>
          <w:szCs w:val="24"/>
        </w:rPr>
        <w:t xml:space="preserve"> p-значення базувалося на логарифмічному ранговому тесті.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Примітка: у цій таблиці також наведено час до першого виникнення кожного з компонентів MACE; пацієнти можуть бути включені до більш ніж 1 категорії.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Педіатрична популяція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Європейське агентство з лікарських засобів відклало зобов'язання щодо подання результатів досліджень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у дітей віком від 4 до 18 років для лікування підвищеного рівня холестерину. Див. розділ «Спосіб застосування та дози» для отримання інформації щодо застосування у дітей.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>
        <w:rPr>
          <w:rFonts w:ascii="Times New Roman" w:hAnsi="Times New Roman"/>
          <w:sz w:val="24"/>
          <w:szCs w:val="16"/>
        </w:rPr>
        <w:t>Фармакокінетика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Абсорбція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Фармакокінетичні</w:t>
      </w:r>
      <w:proofErr w:type="spellEnd"/>
      <w:r>
        <w:rPr>
          <w:rFonts w:ascii="Times New Roman" w:hAnsi="Times New Roman"/>
          <w:sz w:val="24"/>
          <w:szCs w:val="24"/>
        </w:rPr>
        <w:t xml:space="preserve"> дані вказують на те, що 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абсорбується з медіаною часу до досягнення максимальної концентрації 3,5 години при застосуванні у формі таблеток. </w:t>
      </w:r>
      <w:proofErr w:type="spellStart"/>
      <w:r>
        <w:rPr>
          <w:rFonts w:ascii="Times New Roman" w:hAnsi="Times New Roman"/>
          <w:sz w:val="24"/>
          <w:szCs w:val="24"/>
        </w:rPr>
        <w:t>Фармакокінетичні</w:t>
      </w:r>
      <w:proofErr w:type="spellEnd"/>
      <w:r>
        <w:rPr>
          <w:rFonts w:ascii="Times New Roman" w:hAnsi="Times New Roman"/>
          <w:sz w:val="24"/>
          <w:szCs w:val="24"/>
        </w:rPr>
        <w:t xml:space="preserve"> параметри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представлені як середнє значення [стандартне відхилення (SD)], якщо не зазначено інше. </w:t>
      </w:r>
      <w:proofErr w:type="spellStart"/>
      <w:r>
        <w:rPr>
          <w:rFonts w:ascii="Times New Roman" w:hAnsi="Times New Roman"/>
          <w:sz w:val="24"/>
          <w:szCs w:val="24"/>
        </w:rPr>
        <w:t>Бемпедоєву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кислоту можна вважати </w:t>
      </w:r>
      <w:proofErr w:type="spellStart"/>
      <w:r>
        <w:rPr>
          <w:rFonts w:ascii="Times New Roman" w:hAnsi="Times New Roman"/>
          <w:sz w:val="24"/>
          <w:szCs w:val="24"/>
        </w:rPr>
        <w:t>проліками</w:t>
      </w:r>
      <w:proofErr w:type="spellEnd"/>
      <w:r>
        <w:rPr>
          <w:rFonts w:ascii="Times New Roman" w:hAnsi="Times New Roman"/>
          <w:sz w:val="24"/>
          <w:szCs w:val="24"/>
        </w:rPr>
        <w:t xml:space="preserve">, що активуються </w:t>
      </w:r>
      <w:proofErr w:type="spellStart"/>
      <w:r>
        <w:rPr>
          <w:rFonts w:ascii="Times New Roman" w:hAnsi="Times New Roman"/>
          <w:sz w:val="24"/>
          <w:szCs w:val="24"/>
        </w:rPr>
        <w:t>внутрішньоклітинно</w:t>
      </w:r>
      <w:proofErr w:type="spellEnd"/>
      <w:r>
        <w:rPr>
          <w:rFonts w:ascii="Times New Roman" w:hAnsi="Times New Roman"/>
          <w:sz w:val="24"/>
          <w:szCs w:val="24"/>
        </w:rPr>
        <w:t xml:space="preserve"> за допомогою ACSVL1 до ETC-1002-CoA. Стаціонарні значення </w:t>
      </w:r>
      <w:proofErr w:type="spellStart"/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  <w:vertAlign w:val="subscript"/>
        </w:rPr>
        <w:t>max</w:t>
      </w:r>
      <w:proofErr w:type="spellEnd"/>
      <w:r>
        <w:rPr>
          <w:rFonts w:ascii="Times New Roman" w:hAnsi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та AUC після багаторазового застосування пацієнтам з </w:t>
      </w:r>
      <w:proofErr w:type="spellStart"/>
      <w:r>
        <w:rPr>
          <w:rFonts w:ascii="Times New Roman" w:hAnsi="Times New Roman"/>
          <w:sz w:val="24"/>
          <w:szCs w:val="24"/>
        </w:rPr>
        <w:t>гіперхолестеринемією</w:t>
      </w:r>
      <w:proofErr w:type="spellEnd"/>
      <w:r>
        <w:rPr>
          <w:rFonts w:ascii="Times New Roman" w:hAnsi="Times New Roman"/>
          <w:sz w:val="24"/>
          <w:szCs w:val="24"/>
        </w:rPr>
        <w:t xml:space="preserve"> становили 24,8 (6,9) </w:t>
      </w:r>
      <w:proofErr w:type="spellStart"/>
      <w:r>
        <w:rPr>
          <w:rFonts w:ascii="Times New Roman" w:hAnsi="Times New Roman"/>
          <w:sz w:val="24"/>
          <w:szCs w:val="24"/>
        </w:rPr>
        <w:t>мкг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мл</w:t>
      </w:r>
      <w:proofErr w:type="spellEnd"/>
      <w:r>
        <w:rPr>
          <w:rFonts w:ascii="Times New Roman" w:hAnsi="Times New Roman"/>
          <w:sz w:val="24"/>
          <w:szCs w:val="24"/>
        </w:rPr>
        <w:t xml:space="preserve"> та 348 (120) </w:t>
      </w:r>
      <w:proofErr w:type="spellStart"/>
      <w:r>
        <w:rPr>
          <w:rFonts w:ascii="Times New Roman" w:hAnsi="Times New Roman"/>
          <w:sz w:val="24"/>
          <w:szCs w:val="24"/>
        </w:rPr>
        <w:t>мкг∙год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мл</w:t>
      </w:r>
      <w:proofErr w:type="spellEnd"/>
      <w:r>
        <w:rPr>
          <w:rFonts w:ascii="Times New Roman" w:hAnsi="Times New Roman"/>
          <w:sz w:val="24"/>
          <w:szCs w:val="24"/>
        </w:rPr>
        <w:t xml:space="preserve"> відповідно. Фармакокінетика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у стаціонарному стані була загалом лінійною в діапазоні від 120 мг до 220 мг. Не спостерігалося змін фармакокінетики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кислоти, що залежать від часу, після повторного застосування у рекомендованій дозі, а стаціонарний стан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був досягнутий через 7 днів. Середній коефіцієнт накопичення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був приблизно в 2,3 </w:t>
      </w:r>
      <w:proofErr w:type="spellStart"/>
      <w:r>
        <w:rPr>
          <w:rFonts w:ascii="Times New Roman" w:hAnsi="Times New Roman"/>
          <w:sz w:val="24"/>
          <w:szCs w:val="24"/>
        </w:rPr>
        <w:t>раза</w:t>
      </w:r>
      <w:proofErr w:type="spellEnd"/>
      <w:r>
        <w:rPr>
          <w:rFonts w:ascii="Times New Roman" w:hAnsi="Times New Roman"/>
          <w:sz w:val="24"/>
          <w:szCs w:val="24"/>
        </w:rPr>
        <w:t xml:space="preserve">. Супутній прийом їжі не впливав на пероральну </w:t>
      </w:r>
      <w:proofErr w:type="spellStart"/>
      <w:r>
        <w:rPr>
          <w:rFonts w:ascii="Times New Roman" w:hAnsi="Times New Roman"/>
          <w:sz w:val="24"/>
          <w:szCs w:val="24"/>
        </w:rPr>
        <w:t>біодоступність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при застосуванні у формі таблеток. Їжа уповільнює швидкість абсорбції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кислоти; константа швидкості абсорбції при прийомі їжі становить 0,32/год.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Розподіл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Видимий об'єм розподілу (V/F)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становив 18 л. Зв’язування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кислоти, її </w:t>
      </w:r>
      <w:proofErr w:type="spellStart"/>
      <w:r>
        <w:rPr>
          <w:rFonts w:ascii="Times New Roman" w:hAnsi="Times New Roman"/>
          <w:sz w:val="24"/>
          <w:szCs w:val="24"/>
        </w:rPr>
        <w:t>глюкуроніду</w:t>
      </w:r>
      <w:proofErr w:type="spellEnd"/>
      <w:r>
        <w:rPr>
          <w:rFonts w:ascii="Times New Roman" w:hAnsi="Times New Roman"/>
          <w:sz w:val="24"/>
          <w:szCs w:val="24"/>
        </w:rPr>
        <w:t xml:space="preserve"> та її активного метаболіту ESP15228 з білками плазми крові становило 99,3 %, 98,8 % та 99,2 % відповідно. 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не проникає в еритроцити.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Біотрансформація</w:t>
      </w:r>
      <w:proofErr w:type="spellEnd"/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Дослідження метаболічної взаємодії </w:t>
      </w:r>
      <w:proofErr w:type="spellStart"/>
      <w:r>
        <w:rPr>
          <w:rFonts w:ascii="Times New Roman" w:hAnsi="Times New Roman"/>
          <w:i/>
          <w:sz w:val="24"/>
          <w:szCs w:val="24"/>
        </w:rPr>
        <w:t>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vitro</w:t>
      </w:r>
      <w:proofErr w:type="spellEnd"/>
      <w:r>
        <w:rPr>
          <w:rFonts w:ascii="Times New Roman" w:hAnsi="Times New Roman"/>
          <w:sz w:val="24"/>
          <w:szCs w:val="24"/>
        </w:rPr>
        <w:t xml:space="preserve"> показують, що 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кислота, а також її активний метаболіт та </w:t>
      </w:r>
      <w:proofErr w:type="spellStart"/>
      <w:r>
        <w:rPr>
          <w:rFonts w:ascii="Times New Roman" w:hAnsi="Times New Roman"/>
          <w:sz w:val="24"/>
          <w:szCs w:val="24"/>
        </w:rPr>
        <w:t>глюкуронідні</w:t>
      </w:r>
      <w:proofErr w:type="spellEnd"/>
      <w:r>
        <w:rPr>
          <w:rFonts w:ascii="Times New Roman" w:hAnsi="Times New Roman"/>
          <w:sz w:val="24"/>
          <w:szCs w:val="24"/>
        </w:rPr>
        <w:t xml:space="preserve"> форми не </w:t>
      </w:r>
      <w:proofErr w:type="spellStart"/>
      <w:r>
        <w:rPr>
          <w:rFonts w:ascii="Times New Roman" w:hAnsi="Times New Roman"/>
          <w:sz w:val="24"/>
          <w:szCs w:val="24"/>
        </w:rPr>
        <w:t>метаболізуються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ферментами цитохрому P450 та не інгібують їх та не індукують.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Основним шляхом виведення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є метаболізм до </w:t>
      </w:r>
      <w:proofErr w:type="spellStart"/>
      <w:r>
        <w:rPr>
          <w:rFonts w:ascii="Times New Roman" w:hAnsi="Times New Roman"/>
          <w:sz w:val="24"/>
          <w:szCs w:val="24"/>
        </w:rPr>
        <w:t>ацилглюкуроніду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також </w:t>
      </w:r>
      <w:proofErr w:type="spellStart"/>
      <w:r>
        <w:rPr>
          <w:rFonts w:ascii="Times New Roman" w:hAnsi="Times New Roman"/>
          <w:sz w:val="24"/>
          <w:szCs w:val="24"/>
        </w:rPr>
        <w:t>оборотно</w:t>
      </w:r>
      <w:proofErr w:type="spellEnd"/>
      <w:r>
        <w:rPr>
          <w:rFonts w:ascii="Times New Roman" w:hAnsi="Times New Roman"/>
          <w:sz w:val="24"/>
          <w:szCs w:val="24"/>
        </w:rPr>
        <w:t xml:space="preserve"> перетворюється на активний метаболіт (ESP15228) на основі активності </w:t>
      </w:r>
      <w:proofErr w:type="spellStart"/>
      <w:r>
        <w:rPr>
          <w:rFonts w:ascii="Times New Roman" w:hAnsi="Times New Roman"/>
          <w:sz w:val="24"/>
          <w:szCs w:val="24"/>
        </w:rPr>
        <w:t>альдо-кеторедуктази</w:t>
      </w:r>
      <w:proofErr w:type="spellEnd"/>
      <w:r>
        <w:rPr>
          <w:rFonts w:ascii="Times New Roman" w:hAnsi="Times New Roman"/>
          <w:sz w:val="24"/>
          <w:szCs w:val="24"/>
        </w:rPr>
        <w:t xml:space="preserve">, що </w:t>
      </w:r>
      <w:proofErr w:type="spellStart"/>
      <w:r>
        <w:rPr>
          <w:rFonts w:ascii="Times New Roman" w:hAnsi="Times New Roman"/>
          <w:sz w:val="24"/>
          <w:szCs w:val="24"/>
        </w:rPr>
        <w:t>спостерігаєтьсям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vitro</w:t>
      </w:r>
      <w:proofErr w:type="spellEnd"/>
      <w:r>
        <w:rPr>
          <w:rFonts w:ascii="Times New Roman" w:hAnsi="Times New Roman"/>
          <w:sz w:val="24"/>
          <w:szCs w:val="24"/>
        </w:rPr>
        <w:t xml:space="preserve"> в печінці людини. Середнє співвідношення AUC метаболіту / вихідного препарату у плазмі крові для ESP15228 після повторного введення становило 18 % і залишалося постійним з часом. Обидві сполуки перетворюються на неактивні </w:t>
      </w:r>
      <w:proofErr w:type="spellStart"/>
      <w:r>
        <w:rPr>
          <w:rFonts w:ascii="Times New Roman" w:hAnsi="Times New Roman"/>
          <w:sz w:val="24"/>
          <w:szCs w:val="24"/>
        </w:rPr>
        <w:t>глюкуронідні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кон’югати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vitro</w:t>
      </w:r>
      <w:proofErr w:type="spellEnd"/>
      <w:r>
        <w:rPr>
          <w:rFonts w:ascii="Times New Roman" w:hAnsi="Times New Roman"/>
          <w:sz w:val="24"/>
          <w:szCs w:val="24"/>
        </w:rPr>
        <w:t xml:space="preserve"> за допомогою UDP-глюкуронозилтрансферази-2B7 (UGT2B7). 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кислота, ESP15228 та їх відповідні </w:t>
      </w:r>
      <w:proofErr w:type="spellStart"/>
      <w:r>
        <w:rPr>
          <w:rFonts w:ascii="Times New Roman" w:hAnsi="Times New Roman"/>
          <w:sz w:val="24"/>
          <w:szCs w:val="24"/>
        </w:rPr>
        <w:t>кон’юговані</w:t>
      </w:r>
      <w:proofErr w:type="spellEnd"/>
      <w:r>
        <w:rPr>
          <w:rFonts w:ascii="Times New Roman" w:hAnsi="Times New Roman"/>
          <w:sz w:val="24"/>
          <w:szCs w:val="24"/>
        </w:rPr>
        <w:t xml:space="preserve"> форми були виявлені у плазмі крові, причому 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становила більшість (46 %) AUC 0</w:t>
      </w:r>
      <w:r>
        <w:rPr>
          <w:rFonts w:ascii="Times New Roman" w:hAnsi="Times New Roman"/>
          <w:sz w:val="24"/>
          <w:szCs w:val="24"/>
        </w:rPr>
        <w:noBreakHyphen/>
        <w:t xml:space="preserve">48 годин, а її </w:t>
      </w:r>
      <w:proofErr w:type="spellStart"/>
      <w:r>
        <w:rPr>
          <w:rFonts w:ascii="Times New Roman" w:hAnsi="Times New Roman"/>
          <w:sz w:val="24"/>
          <w:szCs w:val="24"/>
        </w:rPr>
        <w:t>глюкуронід</w:t>
      </w:r>
      <w:proofErr w:type="spellEnd"/>
      <w:r>
        <w:rPr>
          <w:rFonts w:ascii="Times New Roman" w:hAnsi="Times New Roman"/>
          <w:sz w:val="24"/>
          <w:szCs w:val="24"/>
        </w:rPr>
        <w:t xml:space="preserve"> був наступним за поширеністю (30 %). ESP15228 та його </w:t>
      </w:r>
      <w:proofErr w:type="spellStart"/>
      <w:r>
        <w:rPr>
          <w:rFonts w:ascii="Times New Roman" w:hAnsi="Times New Roman"/>
          <w:sz w:val="24"/>
          <w:szCs w:val="24"/>
        </w:rPr>
        <w:t>глюкуронід</w:t>
      </w:r>
      <w:proofErr w:type="spellEnd"/>
      <w:r>
        <w:rPr>
          <w:rFonts w:ascii="Times New Roman" w:hAnsi="Times New Roman"/>
          <w:sz w:val="24"/>
          <w:szCs w:val="24"/>
        </w:rPr>
        <w:t xml:space="preserve"> становили 10 % та 11 % AUC 0</w:t>
      </w:r>
      <w:r>
        <w:rPr>
          <w:rFonts w:ascii="Times New Roman" w:hAnsi="Times New Roman"/>
          <w:sz w:val="24"/>
          <w:szCs w:val="24"/>
        </w:rPr>
        <w:noBreakHyphen/>
        <w:t>48 годин плазми крові відповідно.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Стаціонарні значення </w:t>
      </w:r>
      <w:proofErr w:type="spellStart"/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  <w:vertAlign w:val="subscript"/>
        </w:rPr>
        <w:t>max</w:t>
      </w:r>
      <w:proofErr w:type="spellEnd"/>
      <w:r>
        <w:rPr>
          <w:rFonts w:ascii="Times New Roman" w:hAnsi="Times New Roman"/>
          <w:sz w:val="24"/>
          <w:szCs w:val="24"/>
        </w:rPr>
        <w:t xml:space="preserve"> та AUC </w:t>
      </w:r>
      <w:proofErr w:type="spellStart"/>
      <w:r>
        <w:rPr>
          <w:rFonts w:ascii="Times New Roman" w:hAnsi="Times New Roman"/>
          <w:sz w:val="24"/>
          <w:szCs w:val="24"/>
        </w:rPr>
        <w:t>еквіпотентного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активного метаболіту (ESP15228)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у пацієнтів з </w:t>
      </w:r>
      <w:proofErr w:type="spellStart"/>
      <w:r>
        <w:rPr>
          <w:rFonts w:ascii="Times New Roman" w:hAnsi="Times New Roman"/>
          <w:sz w:val="24"/>
          <w:szCs w:val="24"/>
        </w:rPr>
        <w:t>гіперхолестеринемією</w:t>
      </w:r>
      <w:proofErr w:type="spellEnd"/>
      <w:r>
        <w:rPr>
          <w:rFonts w:ascii="Times New Roman" w:hAnsi="Times New Roman"/>
          <w:sz w:val="24"/>
          <w:szCs w:val="24"/>
        </w:rPr>
        <w:t xml:space="preserve"> становили 3,0 (1,4) мікрограм/</w:t>
      </w:r>
      <w:proofErr w:type="spellStart"/>
      <w:r>
        <w:rPr>
          <w:rFonts w:ascii="Times New Roman" w:hAnsi="Times New Roman"/>
          <w:sz w:val="24"/>
          <w:szCs w:val="24"/>
        </w:rPr>
        <w:t>мл</w:t>
      </w:r>
      <w:proofErr w:type="spellEnd"/>
      <w:r>
        <w:rPr>
          <w:rFonts w:ascii="Times New Roman" w:hAnsi="Times New Roman"/>
          <w:sz w:val="24"/>
          <w:szCs w:val="24"/>
        </w:rPr>
        <w:t xml:space="preserve"> та 54,1 (26,4) </w:t>
      </w:r>
      <w:proofErr w:type="spellStart"/>
      <w:r>
        <w:rPr>
          <w:rFonts w:ascii="Times New Roman" w:hAnsi="Times New Roman"/>
          <w:sz w:val="24"/>
          <w:szCs w:val="24"/>
        </w:rPr>
        <w:t>мікрограм∙год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мл</w:t>
      </w:r>
      <w:proofErr w:type="spellEnd"/>
      <w:r>
        <w:rPr>
          <w:rFonts w:ascii="Times New Roman" w:hAnsi="Times New Roman"/>
          <w:sz w:val="24"/>
          <w:szCs w:val="24"/>
        </w:rPr>
        <w:t xml:space="preserve"> відповідно. ESP15228, ймовірно, вносив незначний внесок у загальну клінічну активність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кислоти, виходячи з системної експозиції та </w:t>
      </w:r>
      <w:proofErr w:type="spellStart"/>
      <w:r>
        <w:rPr>
          <w:rFonts w:ascii="Times New Roman" w:hAnsi="Times New Roman"/>
          <w:sz w:val="24"/>
          <w:szCs w:val="24"/>
        </w:rPr>
        <w:t>фармакокінетичних</w:t>
      </w:r>
      <w:proofErr w:type="spellEnd"/>
      <w:r>
        <w:rPr>
          <w:rFonts w:ascii="Times New Roman" w:hAnsi="Times New Roman"/>
          <w:sz w:val="24"/>
          <w:szCs w:val="24"/>
        </w:rPr>
        <w:t xml:space="preserve"> властивостей.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Виведення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Стаціонарний кліренс (CL/F)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кислоти, визначений за допомогою </w:t>
      </w:r>
      <w:proofErr w:type="spellStart"/>
      <w:r>
        <w:rPr>
          <w:rFonts w:ascii="Times New Roman" w:hAnsi="Times New Roman"/>
          <w:sz w:val="24"/>
          <w:szCs w:val="24"/>
        </w:rPr>
        <w:t>фармакокінетичного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(ФК) аналізу популяції у пацієнтів з </w:t>
      </w:r>
      <w:proofErr w:type="spellStart"/>
      <w:r>
        <w:rPr>
          <w:rFonts w:ascii="Times New Roman" w:hAnsi="Times New Roman"/>
          <w:sz w:val="24"/>
          <w:szCs w:val="24"/>
        </w:rPr>
        <w:t>гіперхолестеринемією</w:t>
      </w:r>
      <w:proofErr w:type="spellEnd"/>
      <w:r>
        <w:rPr>
          <w:rFonts w:ascii="Times New Roman" w:hAnsi="Times New Roman"/>
          <w:sz w:val="24"/>
          <w:szCs w:val="24"/>
        </w:rPr>
        <w:t xml:space="preserve">, становив 12,1 </w:t>
      </w:r>
      <w:proofErr w:type="spellStart"/>
      <w:r>
        <w:rPr>
          <w:rFonts w:ascii="Times New Roman" w:hAnsi="Times New Roman"/>
          <w:sz w:val="24"/>
          <w:szCs w:val="24"/>
        </w:rPr>
        <w:t>мл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хв</w:t>
      </w:r>
      <w:proofErr w:type="spellEnd"/>
      <w:r>
        <w:rPr>
          <w:rFonts w:ascii="Times New Roman" w:hAnsi="Times New Roman"/>
          <w:sz w:val="24"/>
          <w:szCs w:val="24"/>
        </w:rPr>
        <w:t xml:space="preserve"> після одноразового щоденного прийому; нирковий кліренс незміненої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становив менше 2 % від загального кліренсу. Середній (SD) період </w:t>
      </w:r>
      <w:proofErr w:type="spellStart"/>
      <w:r>
        <w:rPr>
          <w:rFonts w:ascii="Times New Roman" w:hAnsi="Times New Roman"/>
          <w:sz w:val="24"/>
          <w:szCs w:val="24"/>
        </w:rPr>
        <w:t>напіввиведення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у людей становив 19 (10) годин у стаціонарному стані.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Після одноразового перорального прийому 240 мг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(що в 1,3 </w:t>
      </w:r>
      <w:proofErr w:type="spellStart"/>
      <w:r>
        <w:rPr>
          <w:rFonts w:ascii="Times New Roman" w:hAnsi="Times New Roman"/>
          <w:sz w:val="24"/>
          <w:szCs w:val="24"/>
        </w:rPr>
        <w:t>раза</w:t>
      </w:r>
      <w:proofErr w:type="spellEnd"/>
      <w:r>
        <w:rPr>
          <w:rFonts w:ascii="Times New Roman" w:hAnsi="Times New Roman"/>
          <w:sz w:val="24"/>
          <w:szCs w:val="24"/>
        </w:rPr>
        <w:t xml:space="preserve"> перевищує затверджену рекомендовану дозу) 62,1 % загальної дози (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та її метаболіти) виводилося з сечею, переважно у вигляді </w:t>
      </w:r>
      <w:proofErr w:type="spellStart"/>
      <w:r>
        <w:rPr>
          <w:rFonts w:ascii="Times New Roman" w:hAnsi="Times New Roman"/>
          <w:sz w:val="24"/>
          <w:szCs w:val="24"/>
        </w:rPr>
        <w:t>ацилглюкуронідного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кон’югату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кислоти, а 25,4 % – з калом. Менше 5 % введеної дози виводилося у вигляді незміненої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з калом та сечею разом.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  <w:u w:val="single"/>
        </w:rPr>
        <w:t>Особливі групи населення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Порушення функції нирок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Фармакокінетику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оцінювали у популяційному </w:t>
      </w:r>
      <w:proofErr w:type="spellStart"/>
      <w:r>
        <w:rPr>
          <w:rFonts w:ascii="Times New Roman" w:hAnsi="Times New Roman"/>
          <w:sz w:val="24"/>
          <w:szCs w:val="24"/>
        </w:rPr>
        <w:t>фармакокінетичному</w:t>
      </w:r>
      <w:proofErr w:type="spellEnd"/>
      <w:r>
        <w:rPr>
          <w:rFonts w:ascii="Times New Roman" w:hAnsi="Times New Roman"/>
          <w:sz w:val="24"/>
          <w:szCs w:val="24"/>
        </w:rPr>
        <w:t xml:space="preserve"> аналізі, проведеному на основі об’єднаних даних усіх клінічних випробувань (n=2261) для оцінки функції нирок за AUC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у стаціонарному стані та у </w:t>
      </w:r>
      <w:proofErr w:type="spellStart"/>
      <w:r>
        <w:rPr>
          <w:rFonts w:ascii="Times New Roman" w:hAnsi="Times New Roman"/>
          <w:sz w:val="24"/>
          <w:szCs w:val="24"/>
        </w:rPr>
        <w:t>фармакокінетичному</w:t>
      </w:r>
      <w:proofErr w:type="spellEnd"/>
      <w:r>
        <w:rPr>
          <w:rFonts w:ascii="Times New Roman" w:hAnsi="Times New Roman"/>
          <w:sz w:val="24"/>
          <w:szCs w:val="24"/>
        </w:rPr>
        <w:t xml:space="preserve"> дослідженні з одноразовою дозою у пацієнтів з різним ступенем функції нирок. Порівняно з пацієнтами з нормальною функцією нирок, середня експозиція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була вищою у пацієнтів з легким або помірним порушенням функції нирок в 1,4 </w:t>
      </w:r>
      <w:proofErr w:type="spellStart"/>
      <w:r>
        <w:rPr>
          <w:rFonts w:ascii="Times New Roman" w:hAnsi="Times New Roman"/>
          <w:sz w:val="24"/>
          <w:szCs w:val="24"/>
        </w:rPr>
        <w:t>раза</w:t>
      </w:r>
      <w:proofErr w:type="spellEnd"/>
      <w:r>
        <w:rPr>
          <w:rFonts w:ascii="Times New Roman" w:hAnsi="Times New Roman"/>
          <w:sz w:val="24"/>
          <w:szCs w:val="24"/>
        </w:rPr>
        <w:t xml:space="preserve"> (90 % PI: 1,3, 1,4) та 1,9 </w:t>
      </w:r>
      <w:proofErr w:type="spellStart"/>
      <w:r>
        <w:rPr>
          <w:rFonts w:ascii="Times New Roman" w:hAnsi="Times New Roman"/>
          <w:sz w:val="24"/>
          <w:szCs w:val="24"/>
        </w:rPr>
        <w:t>раза</w:t>
      </w:r>
      <w:proofErr w:type="spellEnd"/>
      <w:r>
        <w:rPr>
          <w:rFonts w:ascii="Times New Roman" w:hAnsi="Times New Roman"/>
          <w:sz w:val="24"/>
          <w:szCs w:val="24"/>
        </w:rPr>
        <w:t xml:space="preserve"> (90 % PI: 1,7, 2,0) відповідно (див. розділ «Особливості застосування»). Інформація щодо пацієнтів з тяжким порушенням функції нирок обмежена; у дослідженні одноразового застосування AUC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збільшилася у 2,4 </w:t>
      </w:r>
      <w:proofErr w:type="spellStart"/>
      <w:r>
        <w:rPr>
          <w:rFonts w:ascii="Times New Roman" w:hAnsi="Times New Roman"/>
          <w:sz w:val="24"/>
          <w:szCs w:val="24"/>
        </w:rPr>
        <w:t>раза</w:t>
      </w:r>
      <w:proofErr w:type="spellEnd"/>
      <w:r>
        <w:rPr>
          <w:rFonts w:ascii="Times New Roman" w:hAnsi="Times New Roman"/>
          <w:sz w:val="24"/>
          <w:szCs w:val="24"/>
        </w:rPr>
        <w:t xml:space="preserve"> у пацієнтів (n=5) з тяжким порушенням функції нирок (</w:t>
      </w:r>
      <w:proofErr w:type="spellStart"/>
      <w:r>
        <w:rPr>
          <w:rFonts w:ascii="Times New Roman" w:hAnsi="Times New Roman"/>
          <w:sz w:val="24"/>
          <w:szCs w:val="24"/>
        </w:rPr>
        <w:t>рШКФ</w:t>
      </w:r>
      <w:proofErr w:type="spellEnd"/>
      <w:r>
        <w:rPr>
          <w:rFonts w:ascii="Times New Roman" w:hAnsi="Times New Roman"/>
          <w:sz w:val="24"/>
          <w:szCs w:val="24"/>
        </w:rPr>
        <w:t xml:space="preserve"> &lt;30 мл/</w:t>
      </w:r>
      <w:proofErr w:type="spellStart"/>
      <w:r>
        <w:rPr>
          <w:rFonts w:ascii="Times New Roman" w:hAnsi="Times New Roman"/>
          <w:sz w:val="24"/>
          <w:szCs w:val="24"/>
        </w:rPr>
        <w:t>хв</w:t>
      </w:r>
      <w:proofErr w:type="spellEnd"/>
      <w:r>
        <w:rPr>
          <w:rFonts w:ascii="Times New Roman" w:hAnsi="Times New Roman"/>
          <w:sz w:val="24"/>
          <w:szCs w:val="24"/>
        </w:rPr>
        <w:t>/1,73 м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)порівняно з пацієнтами з нормальною функцією нирок. Клінічні дослідження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не включали пацієнтів з термінальною стадією ниркової недостатності, які перебувають на діалізі (див. розділ «Особливості застосування»). </w:t>
      </w:r>
      <w:r>
        <w:rPr>
          <w:rFonts w:ascii="Times New Roman" w:hAnsi="Times New Roman"/>
          <w:i/>
          <w:iCs/>
          <w:sz w:val="24"/>
          <w:szCs w:val="24"/>
        </w:rPr>
        <w:t>Порушення функції печінки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Фармакокінетику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та її метаболіту (ESP15228) вивчали у пацієнтів з нормальною функцією печінки або легким чи помірним порушенням функції печінки (клас A або B за шкалою </w:t>
      </w:r>
      <w:proofErr w:type="spellStart"/>
      <w:r>
        <w:rPr>
          <w:rFonts w:ascii="Times New Roman" w:hAnsi="Times New Roman"/>
          <w:sz w:val="24"/>
          <w:szCs w:val="24"/>
        </w:rPr>
        <w:t>Чайлда-П’ю</w:t>
      </w:r>
      <w:proofErr w:type="spellEnd"/>
      <w:r>
        <w:rPr>
          <w:rFonts w:ascii="Times New Roman" w:hAnsi="Times New Roman"/>
          <w:sz w:val="24"/>
          <w:szCs w:val="24"/>
        </w:rPr>
        <w:t xml:space="preserve">) після одноразового застосування (n=8/група). Порівняно з пацієнтами з нормальною функцією печінки, середні значення </w:t>
      </w:r>
      <w:proofErr w:type="spellStart"/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  <w:vertAlign w:val="subscript"/>
        </w:rPr>
        <w:t>max</w:t>
      </w:r>
      <w:proofErr w:type="spellEnd"/>
      <w:r>
        <w:rPr>
          <w:rFonts w:ascii="Times New Roman" w:hAnsi="Times New Roman"/>
          <w:sz w:val="24"/>
          <w:szCs w:val="24"/>
        </w:rPr>
        <w:t xml:space="preserve"> та AUC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знизилися на 11 % та 22 % відповідно у пацієнтів з легким порушенням функції печінки та на 14 % та 16 % відповідно у пацієнтів з помірним порушенням функції печінки. Не очікується, що це призведе до зниження ефективності. Тому корекція дози для пацієнтів з легким або помірним порушенням функції печінки не потрібна.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Бемпедоєву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кислоту не досліджували у пацієнтів з тяжкою печінковою недостатністю (шкала C за </w:t>
      </w:r>
      <w:proofErr w:type="spellStart"/>
      <w:r>
        <w:rPr>
          <w:rFonts w:ascii="Times New Roman" w:hAnsi="Times New Roman"/>
          <w:sz w:val="24"/>
          <w:szCs w:val="24"/>
        </w:rPr>
        <w:t>Чайлдом-П’ю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Інші особливі групи населення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Фармакокінетика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не залежала від віку, статі чи раси. Маса тіла була статистично значущою </w:t>
      </w:r>
      <w:proofErr w:type="spellStart"/>
      <w:r>
        <w:rPr>
          <w:rFonts w:ascii="Times New Roman" w:hAnsi="Times New Roman"/>
          <w:sz w:val="24"/>
          <w:szCs w:val="24"/>
        </w:rPr>
        <w:t>коваріатою</w:t>
      </w:r>
      <w:proofErr w:type="spellEnd"/>
      <w:r>
        <w:rPr>
          <w:rFonts w:ascii="Times New Roman" w:hAnsi="Times New Roman"/>
          <w:sz w:val="24"/>
          <w:szCs w:val="24"/>
        </w:rPr>
        <w:t xml:space="preserve">. Найнижчий </w:t>
      </w:r>
      <w:proofErr w:type="spellStart"/>
      <w:r>
        <w:rPr>
          <w:rFonts w:ascii="Times New Roman" w:hAnsi="Times New Roman"/>
          <w:sz w:val="24"/>
          <w:szCs w:val="24"/>
        </w:rPr>
        <w:t>квартиль</w:t>
      </w:r>
      <w:proofErr w:type="spellEnd"/>
      <w:r>
        <w:rPr>
          <w:rFonts w:ascii="Times New Roman" w:hAnsi="Times New Roman"/>
          <w:sz w:val="24"/>
          <w:szCs w:val="24"/>
        </w:rPr>
        <w:t xml:space="preserve"> маси тіла (&lt;73 кг) був пов’язаний приблизно на 30 % з більшою експозицією. Збільшення експозиції не було клінічно значущим, і коригування дози залежно від маси тіла не рекомендується.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86652" w:rsidRDefault="00686652" w:rsidP="00686652">
      <w:pPr>
        <w:spacing w:after="0" w:line="240" w:lineRule="auto"/>
        <w:rPr>
          <w:rFonts w:ascii="Times New Roman" w:hAnsi="Times New Roman"/>
          <w:b/>
          <w:i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Клінічні характеристики</w:t>
      </w:r>
    </w:p>
    <w:p w:rsidR="00686652" w:rsidRDefault="00686652" w:rsidP="00686652">
      <w:pPr>
        <w:widowControl w:val="0"/>
        <w:spacing w:after="0" w:line="240" w:lineRule="auto"/>
        <w:rPr>
          <w:rFonts w:ascii="Times New Roman" w:hAnsi="Times New Roman"/>
          <w:b/>
          <w:i/>
          <w:sz w:val="24"/>
          <w:szCs w:val="28"/>
        </w:rPr>
      </w:pPr>
      <w:r>
        <w:rPr>
          <w:rFonts w:ascii="Times New Roman" w:hAnsi="Times New Roman"/>
          <w:b/>
          <w:i/>
          <w:sz w:val="24"/>
          <w:szCs w:val="28"/>
        </w:rPr>
        <w:t>Показання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8"/>
        </w:rPr>
      </w:pPr>
      <w:proofErr w:type="spellStart"/>
      <w:r>
        <w:rPr>
          <w:rFonts w:ascii="Times New Roman" w:hAnsi="Times New Roman"/>
          <w:bCs/>
          <w:i/>
          <w:sz w:val="24"/>
          <w:szCs w:val="28"/>
        </w:rPr>
        <w:t>Гіперхолестеринемія</w:t>
      </w:r>
      <w:proofErr w:type="spellEnd"/>
      <w:r>
        <w:rPr>
          <w:rFonts w:ascii="Times New Roman" w:hAnsi="Times New Roman"/>
          <w:bCs/>
          <w:i/>
          <w:sz w:val="24"/>
          <w:szCs w:val="28"/>
        </w:rPr>
        <w:t xml:space="preserve"> та змішана </w:t>
      </w:r>
      <w:proofErr w:type="spellStart"/>
      <w:r>
        <w:rPr>
          <w:rFonts w:ascii="Times New Roman" w:hAnsi="Times New Roman"/>
          <w:bCs/>
          <w:i/>
          <w:sz w:val="24"/>
          <w:szCs w:val="28"/>
        </w:rPr>
        <w:t>дисліпідемія</w:t>
      </w:r>
      <w:proofErr w:type="spellEnd"/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Лікарський засіб </w:t>
      </w:r>
      <w:proofErr w:type="spellStart"/>
      <w:r>
        <w:rPr>
          <w:rFonts w:ascii="Times New Roman" w:hAnsi="Times New Roman"/>
          <w:bCs/>
          <w:sz w:val="24"/>
          <w:szCs w:val="28"/>
        </w:rPr>
        <w:t>Ліфела</w:t>
      </w:r>
      <w:proofErr w:type="spellEnd"/>
      <w:r>
        <w:rPr>
          <w:rFonts w:ascii="Times New Roman" w:hAnsi="Times New Roman"/>
          <w:bCs/>
          <w:sz w:val="24"/>
          <w:szCs w:val="28"/>
        </w:rPr>
        <w:t xml:space="preserve"> показаний для дорослих пацієнтів з первинною </w:t>
      </w:r>
      <w:proofErr w:type="spellStart"/>
      <w:r>
        <w:rPr>
          <w:rFonts w:ascii="Times New Roman" w:hAnsi="Times New Roman"/>
          <w:bCs/>
          <w:sz w:val="24"/>
          <w:szCs w:val="28"/>
        </w:rPr>
        <w:t>гіперхолестеринемією</w:t>
      </w:r>
      <w:proofErr w:type="spellEnd"/>
      <w:r>
        <w:rPr>
          <w:rFonts w:ascii="Times New Roman" w:hAnsi="Times New Roman"/>
          <w:bCs/>
          <w:sz w:val="24"/>
          <w:szCs w:val="28"/>
        </w:rPr>
        <w:t xml:space="preserve"> (гетерозиготною сімейною та несімейною) або змішаною </w:t>
      </w:r>
      <w:proofErr w:type="spellStart"/>
      <w:r>
        <w:rPr>
          <w:rFonts w:ascii="Times New Roman" w:hAnsi="Times New Roman"/>
          <w:bCs/>
          <w:sz w:val="24"/>
          <w:szCs w:val="28"/>
        </w:rPr>
        <w:t>дисліпідемією</w:t>
      </w:r>
      <w:proofErr w:type="spellEnd"/>
      <w:r>
        <w:rPr>
          <w:rFonts w:ascii="Times New Roman" w:hAnsi="Times New Roman"/>
          <w:bCs/>
          <w:sz w:val="24"/>
          <w:szCs w:val="28"/>
        </w:rPr>
        <w:t xml:space="preserve"> як допоміжна терапія до дієти: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•</w:t>
      </w:r>
      <w:r>
        <w:rPr>
          <w:rFonts w:ascii="Times New Roman" w:hAnsi="Times New Roman"/>
          <w:bCs/>
          <w:sz w:val="24"/>
          <w:szCs w:val="28"/>
        </w:rPr>
        <w:tab/>
        <w:t xml:space="preserve">у комбінації зі </w:t>
      </w:r>
      <w:proofErr w:type="spellStart"/>
      <w:r>
        <w:rPr>
          <w:rFonts w:ascii="Times New Roman" w:hAnsi="Times New Roman"/>
          <w:bCs/>
          <w:sz w:val="24"/>
          <w:szCs w:val="28"/>
        </w:rPr>
        <w:t>статинами</w:t>
      </w:r>
      <w:proofErr w:type="spellEnd"/>
      <w:r>
        <w:rPr>
          <w:rFonts w:ascii="Times New Roman" w:hAnsi="Times New Roman"/>
          <w:bCs/>
          <w:sz w:val="24"/>
          <w:szCs w:val="28"/>
        </w:rPr>
        <w:t xml:space="preserve"> або </w:t>
      </w:r>
      <w:proofErr w:type="spellStart"/>
      <w:r>
        <w:rPr>
          <w:rFonts w:ascii="Times New Roman" w:hAnsi="Times New Roman"/>
          <w:bCs/>
          <w:sz w:val="24"/>
          <w:szCs w:val="28"/>
        </w:rPr>
        <w:t>статином</w:t>
      </w:r>
      <w:proofErr w:type="spellEnd"/>
      <w:r>
        <w:rPr>
          <w:rFonts w:ascii="Times New Roman" w:hAnsi="Times New Roman"/>
          <w:bCs/>
          <w:sz w:val="24"/>
          <w:szCs w:val="28"/>
        </w:rPr>
        <w:t xml:space="preserve"> у комбінації з іншими </w:t>
      </w:r>
      <w:proofErr w:type="spellStart"/>
      <w:r>
        <w:rPr>
          <w:rFonts w:ascii="Times New Roman" w:hAnsi="Times New Roman"/>
          <w:bCs/>
          <w:sz w:val="24"/>
          <w:szCs w:val="28"/>
        </w:rPr>
        <w:t>гіполіпідемічними</w:t>
      </w:r>
      <w:proofErr w:type="spellEnd"/>
      <w:r>
        <w:rPr>
          <w:rFonts w:ascii="Times New Roman" w:hAnsi="Times New Roman"/>
          <w:bCs/>
          <w:sz w:val="24"/>
          <w:szCs w:val="28"/>
        </w:rPr>
        <w:t xml:space="preserve"> засобами для пацієнтів, у яких адекватний рівень ХС-ЛПНЩ неможливо досягнути при максимальній </w:t>
      </w:r>
      <w:proofErr w:type="spellStart"/>
      <w:r>
        <w:rPr>
          <w:rFonts w:ascii="Times New Roman" w:hAnsi="Times New Roman"/>
          <w:bCs/>
          <w:sz w:val="24"/>
          <w:szCs w:val="28"/>
        </w:rPr>
        <w:t>переносимій</w:t>
      </w:r>
      <w:proofErr w:type="spellEnd"/>
      <w:r>
        <w:rPr>
          <w:rFonts w:ascii="Times New Roman" w:hAnsi="Times New Roman"/>
          <w:bCs/>
          <w:sz w:val="24"/>
          <w:szCs w:val="28"/>
        </w:rPr>
        <w:t xml:space="preserve"> дозі </w:t>
      </w:r>
      <w:proofErr w:type="spellStart"/>
      <w:r>
        <w:rPr>
          <w:rFonts w:ascii="Times New Roman" w:hAnsi="Times New Roman"/>
          <w:bCs/>
          <w:sz w:val="24"/>
          <w:szCs w:val="28"/>
        </w:rPr>
        <w:t>статину</w:t>
      </w:r>
      <w:proofErr w:type="spellEnd"/>
      <w:r>
        <w:rPr>
          <w:rFonts w:ascii="Times New Roman" w:hAnsi="Times New Roman"/>
          <w:bCs/>
          <w:sz w:val="24"/>
          <w:szCs w:val="28"/>
        </w:rPr>
        <w:t>;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•</w:t>
      </w:r>
      <w:r>
        <w:rPr>
          <w:rFonts w:ascii="Times New Roman" w:hAnsi="Times New Roman"/>
          <w:bCs/>
          <w:sz w:val="24"/>
          <w:szCs w:val="28"/>
        </w:rPr>
        <w:tab/>
        <w:t xml:space="preserve">окремо або у комбінації з іншими </w:t>
      </w:r>
      <w:proofErr w:type="spellStart"/>
      <w:r>
        <w:rPr>
          <w:rFonts w:ascii="Times New Roman" w:hAnsi="Times New Roman"/>
          <w:bCs/>
          <w:sz w:val="24"/>
          <w:szCs w:val="28"/>
        </w:rPr>
        <w:t>гіполіпідемічними</w:t>
      </w:r>
      <w:proofErr w:type="spellEnd"/>
      <w:r>
        <w:rPr>
          <w:rFonts w:ascii="Times New Roman" w:hAnsi="Times New Roman"/>
          <w:bCs/>
          <w:sz w:val="24"/>
          <w:szCs w:val="28"/>
        </w:rPr>
        <w:t xml:space="preserve"> засобами для пацієнтів, які мають непереносимість </w:t>
      </w:r>
      <w:proofErr w:type="spellStart"/>
      <w:r>
        <w:rPr>
          <w:rFonts w:ascii="Times New Roman" w:hAnsi="Times New Roman"/>
          <w:bCs/>
          <w:sz w:val="24"/>
          <w:szCs w:val="28"/>
        </w:rPr>
        <w:t>статинів</w:t>
      </w:r>
      <w:proofErr w:type="spellEnd"/>
      <w:r>
        <w:rPr>
          <w:rFonts w:ascii="Times New Roman" w:hAnsi="Times New Roman"/>
          <w:bCs/>
          <w:sz w:val="24"/>
          <w:szCs w:val="28"/>
        </w:rPr>
        <w:t xml:space="preserve"> або для яких </w:t>
      </w:r>
      <w:proofErr w:type="spellStart"/>
      <w:r>
        <w:rPr>
          <w:rFonts w:ascii="Times New Roman" w:hAnsi="Times New Roman"/>
          <w:bCs/>
          <w:sz w:val="24"/>
          <w:szCs w:val="28"/>
        </w:rPr>
        <w:t>статини</w:t>
      </w:r>
      <w:proofErr w:type="spellEnd"/>
      <w:r>
        <w:rPr>
          <w:rFonts w:ascii="Times New Roman" w:hAnsi="Times New Roman"/>
          <w:bCs/>
          <w:sz w:val="24"/>
          <w:szCs w:val="28"/>
        </w:rPr>
        <w:t xml:space="preserve"> протипоказані.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8"/>
        </w:rPr>
      </w:pPr>
      <w:r>
        <w:rPr>
          <w:rFonts w:ascii="Times New Roman" w:hAnsi="Times New Roman"/>
          <w:bCs/>
          <w:i/>
          <w:sz w:val="24"/>
          <w:szCs w:val="28"/>
        </w:rPr>
        <w:t>Серцево-судинні захворювання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Лікарський засіб </w:t>
      </w:r>
      <w:proofErr w:type="spellStart"/>
      <w:r>
        <w:rPr>
          <w:rFonts w:ascii="Times New Roman" w:hAnsi="Times New Roman"/>
          <w:bCs/>
          <w:sz w:val="24"/>
          <w:szCs w:val="28"/>
        </w:rPr>
        <w:t>Ліфела</w:t>
      </w:r>
      <w:proofErr w:type="spellEnd"/>
      <w:r>
        <w:rPr>
          <w:rFonts w:ascii="Times New Roman" w:hAnsi="Times New Roman"/>
          <w:bCs/>
          <w:sz w:val="24"/>
          <w:szCs w:val="28"/>
        </w:rPr>
        <w:t xml:space="preserve"> показаний дорослим зі встановленим або високим ризиком атеросклеротичних серцево-судинних захворювань для зниження серцево-судинного ризику за рахунок зниження рівня холестерину ЛПНЩ як доповнення до коригування інших факторів ризику: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•</w:t>
      </w:r>
      <w:r>
        <w:rPr>
          <w:rFonts w:ascii="Times New Roman" w:hAnsi="Times New Roman"/>
          <w:bCs/>
          <w:sz w:val="24"/>
          <w:szCs w:val="28"/>
        </w:rPr>
        <w:tab/>
        <w:t xml:space="preserve">для пацієнтів, які приймають максимально </w:t>
      </w:r>
      <w:proofErr w:type="spellStart"/>
      <w:r>
        <w:rPr>
          <w:rFonts w:ascii="Times New Roman" w:hAnsi="Times New Roman"/>
          <w:bCs/>
          <w:sz w:val="24"/>
          <w:szCs w:val="28"/>
        </w:rPr>
        <w:t>переносиму</w:t>
      </w:r>
      <w:proofErr w:type="spellEnd"/>
      <w:r>
        <w:rPr>
          <w:rFonts w:ascii="Times New Roman" w:hAnsi="Times New Roman"/>
          <w:bCs/>
          <w:sz w:val="24"/>
          <w:szCs w:val="28"/>
        </w:rPr>
        <w:t xml:space="preserve"> дозу </w:t>
      </w:r>
      <w:proofErr w:type="spellStart"/>
      <w:r>
        <w:rPr>
          <w:rFonts w:ascii="Times New Roman" w:hAnsi="Times New Roman"/>
          <w:bCs/>
          <w:sz w:val="24"/>
          <w:szCs w:val="28"/>
        </w:rPr>
        <w:t>статину</w:t>
      </w:r>
      <w:proofErr w:type="spellEnd"/>
      <w:r>
        <w:rPr>
          <w:rFonts w:ascii="Times New Roman" w:hAnsi="Times New Roman"/>
          <w:bCs/>
          <w:sz w:val="24"/>
          <w:szCs w:val="28"/>
        </w:rPr>
        <w:t xml:space="preserve"> з </w:t>
      </w:r>
      <w:proofErr w:type="spellStart"/>
      <w:r>
        <w:rPr>
          <w:rFonts w:ascii="Times New Roman" w:hAnsi="Times New Roman"/>
          <w:bCs/>
          <w:sz w:val="24"/>
          <w:szCs w:val="28"/>
        </w:rPr>
        <w:t>езетимібом</w:t>
      </w:r>
      <w:proofErr w:type="spellEnd"/>
      <w:r>
        <w:rPr>
          <w:rFonts w:ascii="Times New Roman" w:hAnsi="Times New Roman"/>
          <w:bCs/>
          <w:sz w:val="24"/>
          <w:szCs w:val="28"/>
        </w:rPr>
        <w:t xml:space="preserve"> або без нього;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•</w:t>
      </w:r>
      <w:r>
        <w:rPr>
          <w:rFonts w:ascii="Times New Roman" w:hAnsi="Times New Roman"/>
          <w:bCs/>
          <w:sz w:val="24"/>
          <w:szCs w:val="28"/>
        </w:rPr>
        <w:tab/>
        <w:t xml:space="preserve">окремо або в комбінації з </w:t>
      </w:r>
      <w:proofErr w:type="spellStart"/>
      <w:r>
        <w:rPr>
          <w:rFonts w:ascii="Times New Roman" w:hAnsi="Times New Roman"/>
          <w:bCs/>
          <w:sz w:val="24"/>
          <w:szCs w:val="28"/>
        </w:rPr>
        <w:t>езетимібом</w:t>
      </w:r>
      <w:proofErr w:type="spellEnd"/>
      <w:r>
        <w:rPr>
          <w:rFonts w:ascii="Times New Roman" w:hAnsi="Times New Roman"/>
          <w:bCs/>
          <w:sz w:val="24"/>
          <w:szCs w:val="28"/>
        </w:rPr>
        <w:t xml:space="preserve"> у пацієнтів з непереносимістю </w:t>
      </w:r>
      <w:proofErr w:type="spellStart"/>
      <w:r>
        <w:rPr>
          <w:rFonts w:ascii="Times New Roman" w:hAnsi="Times New Roman"/>
          <w:bCs/>
          <w:sz w:val="24"/>
          <w:szCs w:val="28"/>
        </w:rPr>
        <w:t>статинів</w:t>
      </w:r>
      <w:proofErr w:type="spellEnd"/>
      <w:r>
        <w:rPr>
          <w:rFonts w:ascii="Times New Roman" w:hAnsi="Times New Roman"/>
          <w:bCs/>
          <w:sz w:val="24"/>
          <w:szCs w:val="28"/>
        </w:rPr>
        <w:t xml:space="preserve"> або для яких </w:t>
      </w:r>
      <w:proofErr w:type="spellStart"/>
      <w:r>
        <w:rPr>
          <w:rFonts w:ascii="Times New Roman" w:hAnsi="Times New Roman"/>
          <w:bCs/>
          <w:sz w:val="24"/>
          <w:szCs w:val="28"/>
        </w:rPr>
        <w:t>статини</w:t>
      </w:r>
      <w:proofErr w:type="spellEnd"/>
      <w:r>
        <w:rPr>
          <w:rFonts w:ascii="Times New Roman" w:hAnsi="Times New Roman"/>
          <w:bCs/>
          <w:sz w:val="24"/>
          <w:szCs w:val="28"/>
        </w:rPr>
        <w:t xml:space="preserve"> протипоказані.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8"/>
        </w:rPr>
      </w:pPr>
      <w:r>
        <w:rPr>
          <w:rFonts w:ascii="Times New Roman" w:hAnsi="Times New Roman"/>
          <w:b/>
          <w:i/>
          <w:sz w:val="24"/>
          <w:szCs w:val="28"/>
        </w:rPr>
        <w:t>Протипоказання</w:t>
      </w:r>
    </w:p>
    <w:p w:rsidR="00686652" w:rsidRDefault="00686652" w:rsidP="00686652">
      <w:pPr>
        <w:widowControl w:val="0"/>
        <w:snapToGrid w:val="0"/>
        <w:spacing w:after="0" w:line="240" w:lineRule="auto"/>
        <w:jc w:val="both"/>
        <w:rPr>
          <w:rFonts w:ascii="Times New Roman" w:hAnsi="Times New Roman"/>
          <w:bCs/>
          <w:sz w:val="24"/>
          <w:szCs w:val="20"/>
        </w:rPr>
      </w:pPr>
      <w:r>
        <w:rPr>
          <w:rFonts w:ascii="Times New Roman" w:hAnsi="Times New Roman"/>
          <w:bCs/>
          <w:sz w:val="24"/>
          <w:szCs w:val="20"/>
        </w:rPr>
        <w:t xml:space="preserve">Підвищена чутливість до діючої речовини або до будь-якої з допоміжних речовин лікарського засобу, які входять до його складу. Період вагітності або годування груддю. Одночасне застосування із </w:t>
      </w:r>
      <w:proofErr w:type="spellStart"/>
      <w:r>
        <w:rPr>
          <w:rFonts w:ascii="Times New Roman" w:hAnsi="Times New Roman"/>
          <w:bCs/>
          <w:sz w:val="24"/>
          <w:szCs w:val="20"/>
        </w:rPr>
        <w:t>симвастатином</w:t>
      </w:r>
      <w:proofErr w:type="spellEnd"/>
      <w:r>
        <w:rPr>
          <w:rFonts w:ascii="Times New Roman" w:hAnsi="Times New Roman"/>
          <w:bCs/>
          <w:sz w:val="24"/>
          <w:szCs w:val="20"/>
        </w:rPr>
        <w:t xml:space="preserve"> у дозі &gt; 40 мг на добу.</w:t>
      </w:r>
    </w:p>
    <w:p w:rsidR="00686652" w:rsidRDefault="00686652" w:rsidP="00686652">
      <w:pPr>
        <w:widowControl w:val="0"/>
        <w:snapToGrid w:val="0"/>
        <w:spacing w:after="0" w:line="240" w:lineRule="auto"/>
        <w:jc w:val="both"/>
        <w:rPr>
          <w:rFonts w:ascii="Times New Roman" w:hAnsi="Times New Roman"/>
          <w:i/>
          <w:sz w:val="24"/>
          <w:szCs w:val="20"/>
        </w:rPr>
      </w:pPr>
    </w:p>
    <w:p w:rsidR="00686652" w:rsidRDefault="00686652" w:rsidP="00686652">
      <w:pPr>
        <w:widowControl w:val="0"/>
        <w:snapToGri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0"/>
        </w:rPr>
      </w:pPr>
      <w:r>
        <w:rPr>
          <w:rFonts w:ascii="Times New Roman" w:hAnsi="Times New Roman"/>
          <w:b/>
          <w:i/>
          <w:sz w:val="24"/>
          <w:szCs w:val="20"/>
        </w:rPr>
        <w:t>Взаємодія з іншими лікарськими засобами та інші види взаємодій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Вплив інших лікарських засобів на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бемпедоєву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кислоту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Взаємодія лікарських засобів, опосередкована транспортерами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Дослідження взаємодії лікарських засобів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in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vitro</w:t>
      </w:r>
      <w:proofErr w:type="spellEnd"/>
      <w:r>
        <w:rPr>
          <w:rFonts w:ascii="Times New Roman" w:hAnsi="Times New Roman"/>
          <w:sz w:val="24"/>
          <w:szCs w:val="24"/>
        </w:rPr>
        <w:t xml:space="preserve"> показують, що 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кислота, а також її активний метаболіт та </w:t>
      </w:r>
      <w:proofErr w:type="spellStart"/>
      <w:r>
        <w:rPr>
          <w:rFonts w:ascii="Times New Roman" w:hAnsi="Times New Roman"/>
          <w:sz w:val="24"/>
          <w:szCs w:val="24"/>
        </w:rPr>
        <w:t>глюкуронідна</w:t>
      </w:r>
      <w:proofErr w:type="spellEnd"/>
      <w:r>
        <w:rPr>
          <w:rFonts w:ascii="Times New Roman" w:hAnsi="Times New Roman"/>
          <w:sz w:val="24"/>
          <w:szCs w:val="24"/>
        </w:rPr>
        <w:t xml:space="preserve"> форма не є субстратами загальновживаних транспортерів ліків, за винятком </w:t>
      </w:r>
      <w:proofErr w:type="spellStart"/>
      <w:r>
        <w:rPr>
          <w:rFonts w:ascii="Times New Roman" w:hAnsi="Times New Roman"/>
          <w:sz w:val="24"/>
          <w:szCs w:val="24"/>
        </w:rPr>
        <w:t>глюкуроніду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кислоти, який є субстратом OAT3.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</w:rPr>
        <w:t>Пробенецид</w:t>
      </w:r>
      <w:proofErr w:type="spellEnd"/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Пробенецид</w:t>
      </w:r>
      <w:proofErr w:type="spellEnd"/>
      <w:r>
        <w:rPr>
          <w:rFonts w:ascii="Times New Roman" w:hAnsi="Times New Roman"/>
          <w:sz w:val="24"/>
          <w:szCs w:val="24"/>
        </w:rPr>
        <w:t xml:space="preserve">, інгібітор </w:t>
      </w:r>
      <w:proofErr w:type="spellStart"/>
      <w:r>
        <w:rPr>
          <w:rFonts w:ascii="Times New Roman" w:hAnsi="Times New Roman"/>
          <w:sz w:val="24"/>
          <w:szCs w:val="24"/>
        </w:rPr>
        <w:t>глюкуронідної</w:t>
      </w:r>
      <w:proofErr w:type="spellEnd"/>
      <w:r>
        <w:rPr>
          <w:rFonts w:ascii="Times New Roman" w:hAnsi="Times New Roman"/>
          <w:sz w:val="24"/>
          <w:szCs w:val="24"/>
        </w:rPr>
        <w:t xml:space="preserve"> кон’югації, досліджували для оцінки потенційного впливу цих інгібіторів на фармакокінетику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кислоти. Введення 180 мг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разом із </w:t>
      </w:r>
      <w:proofErr w:type="spellStart"/>
      <w:r>
        <w:rPr>
          <w:rFonts w:ascii="Times New Roman" w:hAnsi="Times New Roman"/>
          <w:sz w:val="24"/>
          <w:szCs w:val="24"/>
        </w:rPr>
        <w:t>пробенецидом</w:t>
      </w:r>
      <w:proofErr w:type="spellEnd"/>
      <w:r>
        <w:rPr>
          <w:rFonts w:ascii="Times New Roman" w:hAnsi="Times New Roman"/>
          <w:sz w:val="24"/>
          <w:szCs w:val="24"/>
        </w:rPr>
        <w:t xml:space="preserve"> у стаціонарному стані призвело до збільшення площі під кривою (AUC)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в 1,7 </w:t>
      </w:r>
      <w:proofErr w:type="spellStart"/>
      <w:r>
        <w:rPr>
          <w:rFonts w:ascii="Times New Roman" w:hAnsi="Times New Roman"/>
          <w:sz w:val="24"/>
          <w:szCs w:val="24"/>
        </w:rPr>
        <w:t>раза</w:t>
      </w:r>
      <w:proofErr w:type="spellEnd"/>
      <w:r>
        <w:rPr>
          <w:rFonts w:ascii="Times New Roman" w:hAnsi="Times New Roman"/>
          <w:sz w:val="24"/>
          <w:szCs w:val="24"/>
        </w:rPr>
        <w:t xml:space="preserve"> та збільшення AUC активного метаболіту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(ESP15228) в 1,9 </w:t>
      </w:r>
      <w:proofErr w:type="spellStart"/>
      <w:r>
        <w:rPr>
          <w:rFonts w:ascii="Times New Roman" w:hAnsi="Times New Roman"/>
          <w:sz w:val="24"/>
          <w:szCs w:val="24"/>
        </w:rPr>
        <w:t>раза</w:t>
      </w:r>
      <w:proofErr w:type="spellEnd"/>
      <w:r>
        <w:rPr>
          <w:rFonts w:ascii="Times New Roman" w:hAnsi="Times New Roman"/>
          <w:sz w:val="24"/>
          <w:szCs w:val="24"/>
        </w:rPr>
        <w:t>. Це підвищення не є клінічно значущим і не впливає на рекомендації щодо дозування.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Вплив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кислоти на інші лікарські засоби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</w:rPr>
        <w:t>Статини</w:t>
      </w:r>
      <w:proofErr w:type="spellEnd"/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Фармакокінетичні</w:t>
      </w:r>
      <w:proofErr w:type="spellEnd"/>
      <w:r>
        <w:rPr>
          <w:rFonts w:ascii="Times New Roman" w:hAnsi="Times New Roman"/>
          <w:sz w:val="24"/>
          <w:szCs w:val="24"/>
        </w:rPr>
        <w:t xml:space="preserve"> взаємодії між </w:t>
      </w:r>
      <w:proofErr w:type="spellStart"/>
      <w:r>
        <w:rPr>
          <w:rFonts w:ascii="Times New Roman" w:hAnsi="Times New Roman"/>
          <w:sz w:val="24"/>
          <w:szCs w:val="24"/>
        </w:rPr>
        <w:t>бемпедоєвою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кислотою 180 мг та </w:t>
      </w:r>
      <w:proofErr w:type="spellStart"/>
      <w:r>
        <w:rPr>
          <w:rFonts w:ascii="Times New Roman" w:hAnsi="Times New Roman"/>
          <w:sz w:val="24"/>
          <w:szCs w:val="24"/>
        </w:rPr>
        <w:t>симвастатином</w:t>
      </w:r>
      <w:proofErr w:type="spellEnd"/>
      <w:r>
        <w:rPr>
          <w:rFonts w:ascii="Times New Roman" w:hAnsi="Times New Roman"/>
          <w:sz w:val="24"/>
          <w:szCs w:val="24"/>
        </w:rPr>
        <w:t xml:space="preserve"> 40 мг, </w:t>
      </w:r>
      <w:proofErr w:type="spellStart"/>
      <w:r>
        <w:rPr>
          <w:rFonts w:ascii="Times New Roman" w:hAnsi="Times New Roman"/>
          <w:sz w:val="24"/>
          <w:szCs w:val="24"/>
        </w:rPr>
        <w:t>аторвастатином</w:t>
      </w:r>
      <w:proofErr w:type="spellEnd"/>
      <w:r>
        <w:rPr>
          <w:rFonts w:ascii="Times New Roman" w:hAnsi="Times New Roman"/>
          <w:sz w:val="24"/>
          <w:szCs w:val="24"/>
        </w:rPr>
        <w:t xml:space="preserve"> 80 мг, </w:t>
      </w:r>
      <w:proofErr w:type="spellStart"/>
      <w:r>
        <w:rPr>
          <w:rFonts w:ascii="Times New Roman" w:hAnsi="Times New Roman"/>
          <w:sz w:val="24"/>
          <w:szCs w:val="24"/>
        </w:rPr>
        <w:t>правастатином</w:t>
      </w:r>
      <w:proofErr w:type="spellEnd"/>
      <w:r>
        <w:rPr>
          <w:rFonts w:ascii="Times New Roman" w:hAnsi="Times New Roman"/>
          <w:sz w:val="24"/>
          <w:szCs w:val="24"/>
        </w:rPr>
        <w:t xml:space="preserve"> 80 мг та </w:t>
      </w:r>
      <w:proofErr w:type="spellStart"/>
      <w:r>
        <w:rPr>
          <w:rFonts w:ascii="Times New Roman" w:hAnsi="Times New Roman"/>
          <w:sz w:val="24"/>
          <w:szCs w:val="24"/>
        </w:rPr>
        <w:t>розувастатином</w:t>
      </w:r>
      <w:proofErr w:type="spellEnd"/>
      <w:r>
        <w:rPr>
          <w:rFonts w:ascii="Times New Roman" w:hAnsi="Times New Roman"/>
          <w:sz w:val="24"/>
          <w:szCs w:val="24"/>
        </w:rPr>
        <w:t xml:space="preserve"> 40 мг оцінювалися в клінічних дослідженнях. Прийом одноразової дози </w:t>
      </w:r>
      <w:proofErr w:type="spellStart"/>
      <w:r>
        <w:rPr>
          <w:rFonts w:ascii="Times New Roman" w:hAnsi="Times New Roman"/>
          <w:sz w:val="24"/>
          <w:szCs w:val="24"/>
        </w:rPr>
        <w:t>симвастатину</w:t>
      </w:r>
      <w:proofErr w:type="spellEnd"/>
      <w:r>
        <w:rPr>
          <w:rFonts w:ascii="Times New Roman" w:hAnsi="Times New Roman"/>
          <w:sz w:val="24"/>
          <w:szCs w:val="24"/>
        </w:rPr>
        <w:t xml:space="preserve"> 40 мг разом зі стаціонарною </w:t>
      </w:r>
      <w:proofErr w:type="spellStart"/>
      <w:r>
        <w:rPr>
          <w:rFonts w:ascii="Times New Roman" w:hAnsi="Times New Roman"/>
          <w:sz w:val="24"/>
          <w:szCs w:val="24"/>
        </w:rPr>
        <w:t>бемпедоєвою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кислотою 180 мг призвело до двократного збільшення експозиції </w:t>
      </w:r>
      <w:proofErr w:type="spellStart"/>
      <w:r>
        <w:rPr>
          <w:rFonts w:ascii="Times New Roman" w:hAnsi="Times New Roman"/>
          <w:sz w:val="24"/>
          <w:szCs w:val="24"/>
        </w:rPr>
        <w:t>симвастатину</w:t>
      </w:r>
      <w:proofErr w:type="spellEnd"/>
      <w:r>
        <w:rPr>
          <w:rFonts w:ascii="Times New Roman" w:hAnsi="Times New Roman"/>
          <w:sz w:val="24"/>
          <w:szCs w:val="24"/>
        </w:rPr>
        <w:t xml:space="preserve">. При одночасному застосуванні з </w:t>
      </w:r>
      <w:proofErr w:type="spellStart"/>
      <w:r>
        <w:rPr>
          <w:rFonts w:ascii="Times New Roman" w:hAnsi="Times New Roman"/>
          <w:sz w:val="24"/>
          <w:szCs w:val="24"/>
        </w:rPr>
        <w:t>бемпедоєвою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кислотою 180 мг спостерігалося збільшення AUC в 1,4</w:t>
      </w:r>
      <w:r>
        <w:rPr>
          <w:rFonts w:ascii="Times New Roman" w:hAnsi="Times New Roman"/>
          <w:sz w:val="24"/>
          <w:szCs w:val="24"/>
        </w:rPr>
        <w:noBreakHyphen/>
        <w:t xml:space="preserve">1,5 </w:t>
      </w:r>
      <w:proofErr w:type="spellStart"/>
      <w:r>
        <w:rPr>
          <w:rFonts w:ascii="Times New Roman" w:hAnsi="Times New Roman"/>
          <w:sz w:val="24"/>
          <w:szCs w:val="24"/>
        </w:rPr>
        <w:t>раза</w:t>
      </w:r>
      <w:proofErr w:type="spellEnd"/>
      <w:r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>
        <w:rPr>
          <w:rFonts w:ascii="Times New Roman" w:hAnsi="Times New Roman"/>
          <w:sz w:val="24"/>
          <w:szCs w:val="24"/>
        </w:rPr>
        <w:t>аторвастатину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правастатину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розувастатину</w:t>
      </w:r>
      <w:proofErr w:type="spellEnd"/>
      <w:r>
        <w:rPr>
          <w:rFonts w:ascii="Times New Roman" w:hAnsi="Times New Roman"/>
          <w:sz w:val="24"/>
          <w:szCs w:val="24"/>
        </w:rPr>
        <w:t xml:space="preserve"> (приймалися одноразово) та/або їх основних метаболітів. Більш значне </w:t>
      </w:r>
      <w:r>
        <w:rPr>
          <w:rFonts w:ascii="Times New Roman" w:hAnsi="Times New Roman"/>
          <w:sz w:val="24"/>
          <w:szCs w:val="24"/>
        </w:rPr>
        <w:lastRenderedPageBreak/>
        <w:t xml:space="preserve">підвищення спостерігалося при одночасному застосуванні цих </w:t>
      </w:r>
      <w:proofErr w:type="spellStart"/>
      <w:r>
        <w:rPr>
          <w:rFonts w:ascii="Times New Roman" w:hAnsi="Times New Roman"/>
          <w:sz w:val="24"/>
          <w:szCs w:val="24"/>
        </w:rPr>
        <w:t>статинів</w:t>
      </w:r>
      <w:proofErr w:type="spellEnd"/>
      <w:r>
        <w:rPr>
          <w:rFonts w:ascii="Times New Roman" w:hAnsi="Times New Roman"/>
          <w:sz w:val="24"/>
          <w:szCs w:val="24"/>
        </w:rPr>
        <w:t xml:space="preserve"> із </w:t>
      </w:r>
      <w:proofErr w:type="spellStart"/>
      <w:r>
        <w:rPr>
          <w:rFonts w:ascii="Times New Roman" w:hAnsi="Times New Roman"/>
          <w:sz w:val="24"/>
          <w:szCs w:val="24"/>
        </w:rPr>
        <w:t>супратерапевтичною</w:t>
      </w:r>
      <w:proofErr w:type="spellEnd"/>
      <w:r>
        <w:rPr>
          <w:rFonts w:ascii="Times New Roman" w:hAnsi="Times New Roman"/>
          <w:sz w:val="24"/>
          <w:szCs w:val="24"/>
        </w:rPr>
        <w:t xml:space="preserve"> дозою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240 мг (див. розділ «Особливості застосування»).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Взаємодія лікарських засобів, опосередкована транспортерами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та її </w:t>
      </w:r>
      <w:proofErr w:type="spellStart"/>
      <w:r>
        <w:rPr>
          <w:rFonts w:ascii="Times New Roman" w:hAnsi="Times New Roman"/>
          <w:sz w:val="24"/>
          <w:szCs w:val="24"/>
        </w:rPr>
        <w:t>глюкуронід</w:t>
      </w:r>
      <w:proofErr w:type="spellEnd"/>
      <w:r>
        <w:rPr>
          <w:rFonts w:ascii="Times New Roman" w:hAnsi="Times New Roman"/>
          <w:sz w:val="24"/>
          <w:szCs w:val="24"/>
        </w:rPr>
        <w:t xml:space="preserve"> слабо інгібують OATP1B1 та OATP1B3 у клінічно значущих концентраціях. Одночасне застосування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з лікарськими засобами, що є субстратами OATP1B1 або OATP1B3 (тобто </w:t>
      </w:r>
      <w:proofErr w:type="spellStart"/>
      <w:r>
        <w:rPr>
          <w:rFonts w:ascii="Times New Roman" w:hAnsi="Times New Roman"/>
          <w:sz w:val="24"/>
          <w:szCs w:val="24"/>
        </w:rPr>
        <w:t>бозентан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фімасартан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асунапревір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глекапревір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гразопревір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воксилапревір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статини</w:t>
      </w:r>
      <w:proofErr w:type="spellEnd"/>
      <w:r>
        <w:rPr>
          <w:rFonts w:ascii="Times New Roman" w:hAnsi="Times New Roman"/>
          <w:sz w:val="24"/>
          <w:szCs w:val="24"/>
        </w:rPr>
        <w:t xml:space="preserve">, такі як </w:t>
      </w:r>
      <w:proofErr w:type="spellStart"/>
      <w:r>
        <w:rPr>
          <w:rFonts w:ascii="Times New Roman" w:hAnsi="Times New Roman"/>
          <w:sz w:val="24"/>
          <w:szCs w:val="24"/>
        </w:rPr>
        <w:t>аторвастатин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правастатин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флувастатин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пітавастатин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розувастатин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симвастатин</w:t>
      </w:r>
      <w:proofErr w:type="spellEnd"/>
      <w:r>
        <w:rPr>
          <w:rFonts w:ascii="Times New Roman" w:hAnsi="Times New Roman"/>
          <w:sz w:val="24"/>
          <w:szCs w:val="24"/>
        </w:rPr>
        <w:t xml:space="preserve"> (див. розділ «Особливості застосування»), може призвести до підвищення концентрації цих лікарських засобів у плазмі крові. 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пригнічує OAT2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in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vitro</w:t>
      </w:r>
      <w:proofErr w:type="spellEnd"/>
      <w:r>
        <w:rPr>
          <w:rFonts w:ascii="Times New Roman" w:hAnsi="Times New Roman"/>
          <w:sz w:val="24"/>
          <w:szCs w:val="24"/>
        </w:rPr>
        <w:t xml:space="preserve">, що може бути механізмом, відповідальним за незначне підвищення рівня </w:t>
      </w:r>
      <w:proofErr w:type="spellStart"/>
      <w:r>
        <w:rPr>
          <w:rFonts w:ascii="Times New Roman" w:hAnsi="Times New Roman"/>
          <w:sz w:val="24"/>
          <w:szCs w:val="24"/>
        </w:rPr>
        <w:t>креатиніну</w:t>
      </w:r>
      <w:proofErr w:type="spellEnd"/>
      <w:r>
        <w:rPr>
          <w:rFonts w:ascii="Times New Roman" w:hAnsi="Times New Roman"/>
          <w:sz w:val="24"/>
          <w:szCs w:val="24"/>
        </w:rPr>
        <w:t xml:space="preserve"> та сечової кислоти в сироватці крові (див. розділ «Побічні реакції»). </w:t>
      </w:r>
      <w:proofErr w:type="spellStart"/>
      <w:r>
        <w:rPr>
          <w:rFonts w:ascii="Times New Roman" w:hAnsi="Times New Roman"/>
          <w:sz w:val="24"/>
          <w:szCs w:val="24"/>
        </w:rPr>
        <w:t>Інгібування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OAT2 </w:t>
      </w:r>
      <w:proofErr w:type="spellStart"/>
      <w:r>
        <w:rPr>
          <w:rFonts w:ascii="Times New Roman" w:hAnsi="Times New Roman"/>
          <w:sz w:val="24"/>
          <w:szCs w:val="24"/>
        </w:rPr>
        <w:t>бемпедоєвою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кислотою також може потенційно підвищувати концентрації у плазмі крові лікарських засобів, які є субстратами OAT2. 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також може слабко пригнічувати OAT3 у клінічно значущих концентраціях.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</w:rPr>
        <w:t>Езетиміб</w:t>
      </w:r>
      <w:proofErr w:type="spellEnd"/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Загальна AUC та максимальна концентрація </w:t>
      </w:r>
      <w:proofErr w:type="spellStart"/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  <w:vertAlign w:val="subscript"/>
        </w:rPr>
        <w:t>max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езетимібу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глюкуроніду</w:t>
      </w:r>
      <w:proofErr w:type="spellEnd"/>
      <w:r>
        <w:rPr>
          <w:rFonts w:ascii="Times New Roman" w:hAnsi="Times New Roman"/>
          <w:sz w:val="24"/>
          <w:szCs w:val="24"/>
        </w:rPr>
        <w:t xml:space="preserve"> в сироватці крові (</w:t>
      </w:r>
      <w:proofErr w:type="spellStart"/>
      <w:r>
        <w:rPr>
          <w:rFonts w:ascii="Times New Roman" w:hAnsi="Times New Roman"/>
          <w:sz w:val="24"/>
          <w:szCs w:val="24"/>
        </w:rPr>
        <w:t>езетиміб</w:t>
      </w:r>
      <w:proofErr w:type="spellEnd"/>
      <w:r>
        <w:rPr>
          <w:rFonts w:ascii="Times New Roman" w:hAnsi="Times New Roman"/>
          <w:sz w:val="24"/>
          <w:szCs w:val="24"/>
        </w:rPr>
        <w:t>) (</w:t>
      </w:r>
      <w:proofErr w:type="spellStart"/>
      <w:r>
        <w:rPr>
          <w:rFonts w:ascii="Times New Roman" w:hAnsi="Times New Roman"/>
          <w:sz w:val="24"/>
          <w:szCs w:val="24"/>
        </w:rPr>
        <w:t>езетиміб</w:t>
      </w:r>
      <w:proofErr w:type="spellEnd"/>
      <w:r>
        <w:rPr>
          <w:rFonts w:ascii="Times New Roman" w:hAnsi="Times New Roman"/>
          <w:sz w:val="24"/>
          <w:szCs w:val="24"/>
        </w:rPr>
        <w:t xml:space="preserve"> та його </w:t>
      </w:r>
      <w:proofErr w:type="spellStart"/>
      <w:r>
        <w:rPr>
          <w:rFonts w:ascii="Times New Roman" w:hAnsi="Times New Roman"/>
          <w:sz w:val="24"/>
          <w:szCs w:val="24"/>
        </w:rPr>
        <w:t>глюкуронідна</w:t>
      </w:r>
      <w:proofErr w:type="spellEnd"/>
      <w:r>
        <w:rPr>
          <w:rFonts w:ascii="Times New Roman" w:hAnsi="Times New Roman"/>
          <w:sz w:val="24"/>
          <w:szCs w:val="24"/>
        </w:rPr>
        <w:t xml:space="preserve"> форма) та </w:t>
      </w:r>
      <w:proofErr w:type="spellStart"/>
      <w:r>
        <w:rPr>
          <w:rFonts w:ascii="Times New Roman" w:hAnsi="Times New Roman"/>
          <w:sz w:val="24"/>
          <w:szCs w:val="24"/>
        </w:rPr>
        <w:t>езетимібу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глюкуроніду</w:t>
      </w:r>
      <w:proofErr w:type="spellEnd"/>
      <w:r>
        <w:rPr>
          <w:rFonts w:ascii="Times New Roman" w:hAnsi="Times New Roman"/>
          <w:sz w:val="24"/>
          <w:szCs w:val="24"/>
        </w:rPr>
        <w:t xml:space="preserve"> збільшувалися приблизно в 1,6 та 1,8 </w:t>
      </w:r>
      <w:proofErr w:type="spellStart"/>
      <w:r>
        <w:rPr>
          <w:rFonts w:ascii="Times New Roman" w:hAnsi="Times New Roman"/>
          <w:sz w:val="24"/>
          <w:szCs w:val="24"/>
        </w:rPr>
        <w:t>раза</w:t>
      </w:r>
      <w:proofErr w:type="spellEnd"/>
      <w:r>
        <w:rPr>
          <w:rFonts w:ascii="Times New Roman" w:hAnsi="Times New Roman"/>
          <w:sz w:val="24"/>
          <w:szCs w:val="24"/>
        </w:rPr>
        <w:t xml:space="preserve"> відповідно при прийомі разової дози </w:t>
      </w:r>
      <w:proofErr w:type="spellStart"/>
      <w:r>
        <w:rPr>
          <w:rFonts w:ascii="Times New Roman" w:hAnsi="Times New Roman"/>
          <w:sz w:val="24"/>
          <w:szCs w:val="24"/>
        </w:rPr>
        <w:t>езетимібу</w:t>
      </w:r>
      <w:proofErr w:type="spellEnd"/>
      <w:r>
        <w:rPr>
          <w:rFonts w:ascii="Times New Roman" w:hAnsi="Times New Roman"/>
          <w:sz w:val="24"/>
          <w:szCs w:val="24"/>
        </w:rPr>
        <w:t xml:space="preserve"> разом із </w:t>
      </w:r>
      <w:proofErr w:type="spellStart"/>
      <w:r>
        <w:rPr>
          <w:rFonts w:ascii="Times New Roman" w:hAnsi="Times New Roman"/>
          <w:sz w:val="24"/>
          <w:szCs w:val="24"/>
        </w:rPr>
        <w:t>бемпедоєвою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кислотою у стаціонарному стані. Це збільшення, ймовірно, пов'язане з пригніченням OATP1B1 </w:t>
      </w:r>
      <w:proofErr w:type="spellStart"/>
      <w:r>
        <w:rPr>
          <w:rFonts w:ascii="Times New Roman" w:hAnsi="Times New Roman"/>
          <w:sz w:val="24"/>
          <w:szCs w:val="24"/>
        </w:rPr>
        <w:t>бемпедоєвою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кислотою, що призводить до зниження поглинання печінкою та, як наслідок, зниження виведення </w:t>
      </w:r>
      <w:proofErr w:type="spellStart"/>
      <w:r>
        <w:rPr>
          <w:rFonts w:ascii="Times New Roman" w:hAnsi="Times New Roman"/>
          <w:sz w:val="24"/>
          <w:szCs w:val="24"/>
        </w:rPr>
        <w:t>езетимібу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глюкуроніду</w:t>
      </w:r>
      <w:proofErr w:type="spellEnd"/>
      <w:r>
        <w:rPr>
          <w:rFonts w:ascii="Times New Roman" w:hAnsi="Times New Roman"/>
          <w:sz w:val="24"/>
          <w:szCs w:val="24"/>
        </w:rPr>
        <w:t xml:space="preserve">. Збільшення AUC та </w:t>
      </w:r>
      <w:proofErr w:type="spellStart"/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  <w:vertAlign w:val="subscript"/>
        </w:rPr>
        <w:t>max</w:t>
      </w:r>
      <w:proofErr w:type="spellEnd"/>
      <w:r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>
        <w:rPr>
          <w:rFonts w:ascii="Times New Roman" w:hAnsi="Times New Roman"/>
          <w:sz w:val="24"/>
          <w:szCs w:val="24"/>
        </w:rPr>
        <w:t>езетимібу</w:t>
      </w:r>
      <w:proofErr w:type="spellEnd"/>
      <w:r>
        <w:rPr>
          <w:rFonts w:ascii="Times New Roman" w:hAnsi="Times New Roman"/>
          <w:sz w:val="24"/>
          <w:szCs w:val="24"/>
        </w:rPr>
        <w:t xml:space="preserve"> становило менше ніж 20 %. Це підвищення не є клінічно значущим і не впливає на рекомендації щодо дозування.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Інші взаємодії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не впливала на фармакокінетику або </w:t>
      </w:r>
      <w:proofErr w:type="spellStart"/>
      <w:r>
        <w:rPr>
          <w:rFonts w:ascii="Times New Roman" w:hAnsi="Times New Roman"/>
          <w:sz w:val="24"/>
          <w:szCs w:val="24"/>
        </w:rPr>
        <w:t>фармакодинаміку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метформіну</w:t>
      </w:r>
      <w:proofErr w:type="spellEnd"/>
      <w:r>
        <w:rPr>
          <w:rFonts w:ascii="Times New Roman" w:hAnsi="Times New Roman"/>
          <w:sz w:val="24"/>
          <w:szCs w:val="24"/>
        </w:rPr>
        <w:t xml:space="preserve"> або фармакокінетику перорального </w:t>
      </w:r>
      <w:proofErr w:type="spellStart"/>
      <w:r>
        <w:rPr>
          <w:rFonts w:ascii="Times New Roman" w:hAnsi="Times New Roman"/>
          <w:sz w:val="24"/>
          <w:szCs w:val="24"/>
        </w:rPr>
        <w:t>контрацептива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норетиндрону</w:t>
      </w:r>
      <w:proofErr w:type="spellEnd"/>
      <w:r>
        <w:rPr>
          <w:rFonts w:ascii="Times New Roman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sz w:val="24"/>
          <w:szCs w:val="24"/>
        </w:rPr>
        <w:t>етинілестрадіолу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86652" w:rsidRDefault="00686652" w:rsidP="00686652">
      <w:pPr>
        <w:widowControl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686652" w:rsidRDefault="00686652" w:rsidP="00686652">
      <w:pPr>
        <w:widowControl w:val="0"/>
        <w:spacing w:after="0" w:line="240" w:lineRule="auto"/>
        <w:rPr>
          <w:rFonts w:ascii="Times New Roman" w:hAnsi="Times New Roman"/>
          <w:b/>
          <w:i/>
          <w:sz w:val="24"/>
          <w:szCs w:val="28"/>
        </w:rPr>
      </w:pPr>
      <w:r>
        <w:rPr>
          <w:rFonts w:ascii="Times New Roman" w:hAnsi="Times New Roman"/>
          <w:b/>
          <w:i/>
          <w:sz w:val="24"/>
          <w:szCs w:val="28"/>
        </w:rPr>
        <w:t>Особливості застосування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Потенційний ризик міопатії при одночасному застосуванні </w:t>
      </w:r>
      <w:proofErr w:type="spellStart"/>
      <w:r>
        <w:rPr>
          <w:rFonts w:ascii="Times New Roman" w:hAnsi="Times New Roman"/>
          <w:i/>
          <w:sz w:val="24"/>
          <w:szCs w:val="24"/>
        </w:rPr>
        <w:t>статинів</w:t>
      </w:r>
      <w:proofErr w:type="spellEnd"/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підвищує концентрацію </w:t>
      </w:r>
      <w:proofErr w:type="spellStart"/>
      <w:r>
        <w:rPr>
          <w:rFonts w:ascii="Times New Roman" w:hAnsi="Times New Roman"/>
          <w:sz w:val="24"/>
          <w:szCs w:val="24"/>
        </w:rPr>
        <w:t>статинів</w:t>
      </w:r>
      <w:proofErr w:type="spellEnd"/>
      <w:r>
        <w:rPr>
          <w:rFonts w:ascii="Times New Roman" w:hAnsi="Times New Roman"/>
          <w:sz w:val="24"/>
          <w:szCs w:val="24"/>
        </w:rPr>
        <w:t xml:space="preserve"> у плазмі крові (див. розділ «Взаємодія з іншими лікарськими засобами та інші види взаємодій»). Пацієнтів, які отримують лікарський засіб як додаткову терапію до </w:t>
      </w:r>
      <w:proofErr w:type="spellStart"/>
      <w:r>
        <w:rPr>
          <w:rFonts w:ascii="Times New Roman" w:hAnsi="Times New Roman"/>
          <w:sz w:val="24"/>
          <w:szCs w:val="24"/>
        </w:rPr>
        <w:t>статинів</w:t>
      </w:r>
      <w:proofErr w:type="spellEnd"/>
      <w:r>
        <w:rPr>
          <w:rFonts w:ascii="Times New Roman" w:hAnsi="Times New Roman"/>
          <w:sz w:val="24"/>
          <w:szCs w:val="24"/>
        </w:rPr>
        <w:t xml:space="preserve">, слід контролювати щодо побічних реакцій, пов’язаних із застосуванням високих доз </w:t>
      </w:r>
      <w:proofErr w:type="spellStart"/>
      <w:r>
        <w:rPr>
          <w:rFonts w:ascii="Times New Roman" w:hAnsi="Times New Roman"/>
          <w:sz w:val="24"/>
          <w:szCs w:val="24"/>
        </w:rPr>
        <w:t>статинів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Статини</w:t>
      </w:r>
      <w:proofErr w:type="spellEnd"/>
      <w:r>
        <w:rPr>
          <w:rFonts w:ascii="Times New Roman" w:hAnsi="Times New Roman"/>
          <w:sz w:val="24"/>
          <w:szCs w:val="24"/>
        </w:rPr>
        <w:t xml:space="preserve"> іноді спричиняють міопатію. У рідкісних випадках міопатія може проявлятися у формі </w:t>
      </w:r>
      <w:proofErr w:type="spellStart"/>
      <w:r>
        <w:rPr>
          <w:rFonts w:ascii="Times New Roman" w:hAnsi="Times New Roman"/>
          <w:sz w:val="24"/>
          <w:szCs w:val="24"/>
        </w:rPr>
        <w:t>рабдоміолізу</w:t>
      </w:r>
      <w:proofErr w:type="spellEnd"/>
      <w:r>
        <w:rPr>
          <w:rFonts w:ascii="Times New Roman" w:hAnsi="Times New Roman"/>
          <w:sz w:val="24"/>
          <w:szCs w:val="24"/>
        </w:rPr>
        <w:t xml:space="preserve"> з гострою нирковою недостатністю або без неї, що виникає внаслідок </w:t>
      </w:r>
      <w:proofErr w:type="spellStart"/>
      <w:r>
        <w:rPr>
          <w:rFonts w:ascii="Times New Roman" w:hAnsi="Times New Roman"/>
          <w:sz w:val="24"/>
          <w:szCs w:val="24"/>
        </w:rPr>
        <w:t>міоглобінурії</w:t>
      </w:r>
      <w:proofErr w:type="spellEnd"/>
      <w:r>
        <w:rPr>
          <w:rFonts w:ascii="Times New Roman" w:hAnsi="Times New Roman"/>
          <w:sz w:val="24"/>
          <w:szCs w:val="24"/>
        </w:rPr>
        <w:t xml:space="preserve">, і може призвести до летального результату. Усіх пацієнтів, які отримують </w:t>
      </w:r>
      <w:proofErr w:type="spellStart"/>
      <w:r>
        <w:rPr>
          <w:rFonts w:ascii="Times New Roman" w:hAnsi="Times New Roman"/>
          <w:sz w:val="24"/>
          <w:szCs w:val="24"/>
        </w:rPr>
        <w:t>бемпедоєву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кислоту на додаток до </w:t>
      </w:r>
      <w:proofErr w:type="spellStart"/>
      <w:r>
        <w:rPr>
          <w:rFonts w:ascii="Times New Roman" w:hAnsi="Times New Roman"/>
          <w:sz w:val="24"/>
          <w:szCs w:val="24"/>
        </w:rPr>
        <w:t>статинів</w:t>
      </w:r>
      <w:proofErr w:type="spellEnd"/>
      <w:r>
        <w:rPr>
          <w:rFonts w:ascii="Times New Roman" w:hAnsi="Times New Roman"/>
          <w:sz w:val="24"/>
          <w:szCs w:val="24"/>
        </w:rPr>
        <w:t xml:space="preserve">, слід попередити про потенційний підвищений ризик міопатії та негайно повідомляти про будь-які незрозумілі м’язові болі, чутливість або слабкість. Якщо такі симптоми виникають під час лікування пацієнта лікарським засобом та </w:t>
      </w:r>
      <w:proofErr w:type="spellStart"/>
      <w:r>
        <w:rPr>
          <w:rFonts w:ascii="Times New Roman" w:hAnsi="Times New Roman"/>
          <w:sz w:val="24"/>
          <w:szCs w:val="24"/>
        </w:rPr>
        <w:t>статином</w:t>
      </w:r>
      <w:proofErr w:type="spellEnd"/>
      <w:r>
        <w:rPr>
          <w:rFonts w:ascii="Times New Roman" w:hAnsi="Times New Roman"/>
          <w:sz w:val="24"/>
          <w:szCs w:val="24"/>
        </w:rPr>
        <w:t xml:space="preserve">, слід розглянути питання про зниження максимальної дози того ж </w:t>
      </w:r>
      <w:proofErr w:type="spellStart"/>
      <w:r>
        <w:rPr>
          <w:rFonts w:ascii="Times New Roman" w:hAnsi="Times New Roman"/>
          <w:sz w:val="24"/>
          <w:szCs w:val="24"/>
        </w:rPr>
        <w:t>статину</w:t>
      </w:r>
      <w:proofErr w:type="spellEnd"/>
      <w:r>
        <w:rPr>
          <w:rFonts w:ascii="Times New Roman" w:hAnsi="Times New Roman"/>
          <w:sz w:val="24"/>
          <w:szCs w:val="24"/>
        </w:rPr>
        <w:t xml:space="preserve"> або альтернативного </w:t>
      </w:r>
      <w:proofErr w:type="spellStart"/>
      <w:r>
        <w:rPr>
          <w:rFonts w:ascii="Times New Roman" w:hAnsi="Times New Roman"/>
          <w:sz w:val="24"/>
          <w:szCs w:val="24"/>
        </w:rPr>
        <w:t>статину</w:t>
      </w:r>
      <w:proofErr w:type="spellEnd"/>
      <w:r>
        <w:rPr>
          <w:rFonts w:ascii="Times New Roman" w:hAnsi="Times New Roman"/>
          <w:sz w:val="24"/>
          <w:szCs w:val="24"/>
        </w:rPr>
        <w:t xml:space="preserve">, або припинення прийому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та початок альтернативної </w:t>
      </w:r>
      <w:proofErr w:type="spellStart"/>
      <w:r>
        <w:rPr>
          <w:rFonts w:ascii="Times New Roman" w:hAnsi="Times New Roman"/>
          <w:sz w:val="24"/>
          <w:szCs w:val="24"/>
        </w:rPr>
        <w:t>ліпідознижувальної</w:t>
      </w:r>
      <w:proofErr w:type="spellEnd"/>
      <w:r>
        <w:rPr>
          <w:rFonts w:ascii="Times New Roman" w:hAnsi="Times New Roman"/>
          <w:sz w:val="24"/>
          <w:szCs w:val="24"/>
        </w:rPr>
        <w:t xml:space="preserve"> терапії під ретельним моніторингом рівня ліпідів та побічних реакцій. Якщо міопатія підтверджена рівнем </w:t>
      </w:r>
      <w:proofErr w:type="spellStart"/>
      <w:r>
        <w:rPr>
          <w:rFonts w:ascii="Times New Roman" w:hAnsi="Times New Roman"/>
          <w:sz w:val="24"/>
          <w:szCs w:val="24"/>
        </w:rPr>
        <w:t>креатинфосфокінази</w:t>
      </w:r>
      <w:proofErr w:type="spellEnd"/>
      <w:r>
        <w:rPr>
          <w:rFonts w:ascii="Times New Roman" w:hAnsi="Times New Roman"/>
          <w:sz w:val="24"/>
          <w:szCs w:val="24"/>
        </w:rPr>
        <w:t xml:space="preserve"> (КФК) &gt;10× верхня межа норми (ВМН), прийом лікарського засобу та будь-яких </w:t>
      </w:r>
      <w:proofErr w:type="spellStart"/>
      <w:r>
        <w:rPr>
          <w:rFonts w:ascii="Times New Roman" w:hAnsi="Times New Roman"/>
          <w:sz w:val="24"/>
          <w:szCs w:val="24"/>
        </w:rPr>
        <w:t>статинів</w:t>
      </w:r>
      <w:proofErr w:type="spellEnd"/>
      <w:r>
        <w:rPr>
          <w:rFonts w:ascii="Times New Roman" w:hAnsi="Times New Roman"/>
          <w:sz w:val="24"/>
          <w:szCs w:val="24"/>
        </w:rPr>
        <w:t xml:space="preserve">, які пацієнт приймає одночасно, слід негайно припинити. Міозит з рівнем КФК &gt;10 × ВМН рідко спостерігався при застосуванні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та фонової терапії </w:t>
      </w:r>
      <w:proofErr w:type="spellStart"/>
      <w:r>
        <w:rPr>
          <w:rFonts w:ascii="Times New Roman" w:hAnsi="Times New Roman"/>
          <w:sz w:val="24"/>
          <w:szCs w:val="24"/>
        </w:rPr>
        <w:t>симвастатином</w:t>
      </w:r>
      <w:proofErr w:type="spellEnd"/>
      <w:r>
        <w:rPr>
          <w:rFonts w:ascii="Times New Roman" w:hAnsi="Times New Roman"/>
          <w:sz w:val="24"/>
          <w:szCs w:val="24"/>
        </w:rPr>
        <w:t xml:space="preserve"> 40 мг. Дози </w:t>
      </w:r>
      <w:proofErr w:type="spellStart"/>
      <w:r>
        <w:rPr>
          <w:rFonts w:ascii="Times New Roman" w:hAnsi="Times New Roman"/>
          <w:sz w:val="24"/>
          <w:szCs w:val="24"/>
        </w:rPr>
        <w:t>симвастатину</w:t>
      </w:r>
      <w:proofErr w:type="spellEnd"/>
      <w:r>
        <w:rPr>
          <w:rFonts w:ascii="Times New Roman" w:hAnsi="Times New Roman"/>
          <w:sz w:val="24"/>
          <w:szCs w:val="24"/>
        </w:rPr>
        <w:t xml:space="preserve"> &gt;40 мг не слід застосовувати з </w:t>
      </w:r>
      <w:proofErr w:type="spellStart"/>
      <w:r>
        <w:rPr>
          <w:rFonts w:ascii="Times New Roman" w:hAnsi="Times New Roman"/>
          <w:sz w:val="24"/>
          <w:szCs w:val="24"/>
        </w:rPr>
        <w:t>бемпедоєвою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кислотою (див. розділи «Спосіб застосування та дози» і «Протипоказання»). </w:t>
      </w:r>
      <w:r>
        <w:rPr>
          <w:rFonts w:ascii="Times New Roman" w:hAnsi="Times New Roman"/>
          <w:i/>
          <w:sz w:val="24"/>
          <w:szCs w:val="24"/>
        </w:rPr>
        <w:t>Розрив сухожилля.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Застосування лікарського засобу, пов’язано з підвищеним ризиком розриву або травми сухожилля. У клінічних випробуваннях розрив сухожилля траплявся у 0,5 % пацієнтів, які отримували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бемпедоєву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кислоту</w:t>
      </w:r>
      <w:r>
        <w:rPr>
          <w:rFonts w:ascii="Times New Roman" w:hAnsi="Times New Roman"/>
          <w:sz w:val="24"/>
          <w:szCs w:val="24"/>
        </w:rPr>
        <w:t xml:space="preserve">, порівняно з 0 % пацієнтів, які отримували плацебо, і стосувався ротаторної манжети плеча, сухожилля двоголового м’яза плеча або </w:t>
      </w:r>
      <w:proofErr w:type="spellStart"/>
      <w:r>
        <w:rPr>
          <w:rFonts w:ascii="Times New Roman" w:hAnsi="Times New Roman"/>
          <w:sz w:val="24"/>
          <w:szCs w:val="24"/>
        </w:rPr>
        <w:t>ахіллового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 xml:space="preserve">сухожилля. Розрив сухожилля траплявся протягом тижнів або місяців після початку застосування лікарського засобу та може частіше траплятися у пацієнтів старше 60 років, у тих, хто приймає </w:t>
      </w:r>
      <w:proofErr w:type="spellStart"/>
      <w:r>
        <w:rPr>
          <w:rFonts w:ascii="Times New Roman" w:hAnsi="Times New Roman"/>
          <w:sz w:val="24"/>
          <w:szCs w:val="24"/>
        </w:rPr>
        <w:t>кортикостероїдні</w:t>
      </w:r>
      <w:proofErr w:type="spellEnd"/>
      <w:r>
        <w:rPr>
          <w:rFonts w:ascii="Times New Roman" w:hAnsi="Times New Roman"/>
          <w:sz w:val="24"/>
          <w:szCs w:val="24"/>
        </w:rPr>
        <w:t xml:space="preserve"> засоби або </w:t>
      </w:r>
      <w:proofErr w:type="spellStart"/>
      <w:r>
        <w:rPr>
          <w:rFonts w:ascii="Times New Roman" w:hAnsi="Times New Roman"/>
          <w:sz w:val="24"/>
          <w:szCs w:val="24"/>
        </w:rPr>
        <w:t>фторхінолони</w:t>
      </w:r>
      <w:proofErr w:type="spellEnd"/>
      <w:r>
        <w:rPr>
          <w:rFonts w:ascii="Times New Roman" w:hAnsi="Times New Roman"/>
          <w:sz w:val="24"/>
          <w:szCs w:val="24"/>
        </w:rPr>
        <w:t xml:space="preserve">, у пацієнтів з нирковою недостатністю та у пацієнтів з попередніми захворюваннями сухожиль. Рекомендовано негайно припинити прийом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бемпедоєвої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кислоти</w:t>
      </w:r>
      <w:r>
        <w:rPr>
          <w:rFonts w:ascii="Times New Roman" w:hAnsi="Times New Roman"/>
          <w:sz w:val="24"/>
          <w:szCs w:val="24"/>
        </w:rPr>
        <w:t xml:space="preserve">, якщо у пацієнта виникне розрив сухожилля, а також необхідно розглянути можливість припинення прийому лікарського засобу, якщо у пацієнта виникне біль у суглобах, набряк або запалення. Пацієнтам слід забезпечити спокій при перших ознаках </w:t>
      </w:r>
      <w:proofErr w:type="spellStart"/>
      <w:r>
        <w:rPr>
          <w:rFonts w:ascii="Times New Roman" w:hAnsi="Times New Roman"/>
          <w:sz w:val="24"/>
          <w:szCs w:val="24"/>
        </w:rPr>
        <w:t>тендиніту</w:t>
      </w:r>
      <w:proofErr w:type="spellEnd"/>
      <w:r>
        <w:rPr>
          <w:rFonts w:ascii="Times New Roman" w:hAnsi="Times New Roman"/>
          <w:sz w:val="24"/>
          <w:szCs w:val="24"/>
        </w:rPr>
        <w:t xml:space="preserve"> або розриві сухожилля та звернутися до лікаря, якщо виникнуть симптоми </w:t>
      </w:r>
      <w:proofErr w:type="spellStart"/>
      <w:r>
        <w:rPr>
          <w:rFonts w:ascii="Times New Roman" w:hAnsi="Times New Roman"/>
          <w:sz w:val="24"/>
          <w:szCs w:val="24"/>
        </w:rPr>
        <w:t>тендиніту</w:t>
      </w:r>
      <w:proofErr w:type="spellEnd"/>
      <w:r>
        <w:rPr>
          <w:rFonts w:ascii="Times New Roman" w:hAnsi="Times New Roman"/>
          <w:sz w:val="24"/>
          <w:szCs w:val="24"/>
        </w:rPr>
        <w:t xml:space="preserve"> або розриву сухожилля. Необхідно розглянути альтернативну терапію для пацієнтів з захворюваннями сухожилля або розривом сухожилля в анамнезі.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Підвищений рівень сечової кислоти в сироватці крові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може підвищувати рівень сечової кислоти в сироватці крові через пригнічення ОАТ2 ниркових канальців і може спричинити або загострити </w:t>
      </w:r>
      <w:proofErr w:type="spellStart"/>
      <w:r>
        <w:rPr>
          <w:rFonts w:ascii="Times New Roman" w:hAnsi="Times New Roman"/>
          <w:sz w:val="24"/>
          <w:szCs w:val="24"/>
        </w:rPr>
        <w:t>гіперурикемію</w:t>
      </w:r>
      <w:proofErr w:type="spellEnd"/>
      <w:r>
        <w:rPr>
          <w:rFonts w:ascii="Times New Roman" w:hAnsi="Times New Roman"/>
          <w:sz w:val="24"/>
          <w:szCs w:val="24"/>
        </w:rPr>
        <w:t xml:space="preserve"> та спровокувати подагру у пацієнтів з подагрою в анамнезі або схильними до подагри (див. розділ «Побічні реакції»). Лікування </w:t>
      </w:r>
      <w:proofErr w:type="spellStart"/>
      <w:r>
        <w:rPr>
          <w:rFonts w:ascii="Times New Roman" w:hAnsi="Times New Roman"/>
          <w:sz w:val="24"/>
          <w:szCs w:val="24"/>
        </w:rPr>
        <w:t>бемпедоєвою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кислотою слід припинити, якщо з’являється </w:t>
      </w:r>
      <w:proofErr w:type="spellStart"/>
      <w:r>
        <w:rPr>
          <w:rFonts w:ascii="Times New Roman" w:hAnsi="Times New Roman"/>
          <w:sz w:val="24"/>
          <w:szCs w:val="24"/>
        </w:rPr>
        <w:t>гіперурикемія</w:t>
      </w:r>
      <w:proofErr w:type="spellEnd"/>
      <w:r>
        <w:rPr>
          <w:rFonts w:ascii="Times New Roman" w:hAnsi="Times New Roman"/>
          <w:sz w:val="24"/>
          <w:szCs w:val="24"/>
        </w:rPr>
        <w:t>, що супроводжується симптомами подагри.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Підвищені печінкові ферменти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 клінічних випробуваннях повідомлялося про підвищення рівнів печінкових ферментів аланін-амінотрансферази (АЛТ) та </w:t>
      </w:r>
      <w:proofErr w:type="spellStart"/>
      <w:r>
        <w:rPr>
          <w:rFonts w:ascii="Times New Roman" w:hAnsi="Times New Roman"/>
          <w:sz w:val="24"/>
          <w:szCs w:val="24"/>
        </w:rPr>
        <w:t>аспартат-амінотрансферази</w:t>
      </w:r>
      <w:proofErr w:type="spellEnd"/>
      <w:r>
        <w:rPr>
          <w:rFonts w:ascii="Times New Roman" w:hAnsi="Times New Roman"/>
          <w:sz w:val="24"/>
          <w:szCs w:val="24"/>
        </w:rPr>
        <w:t xml:space="preserve"> (АСТ) &gt;3 × ВМН при застосуванні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кислоти. Це підвищення було </w:t>
      </w:r>
      <w:proofErr w:type="spellStart"/>
      <w:r>
        <w:rPr>
          <w:rFonts w:ascii="Times New Roman" w:hAnsi="Times New Roman"/>
          <w:sz w:val="24"/>
          <w:szCs w:val="24"/>
        </w:rPr>
        <w:t>безсимптомним</w:t>
      </w:r>
      <w:proofErr w:type="spellEnd"/>
      <w:r>
        <w:rPr>
          <w:rFonts w:ascii="Times New Roman" w:hAnsi="Times New Roman"/>
          <w:sz w:val="24"/>
          <w:szCs w:val="24"/>
        </w:rPr>
        <w:t xml:space="preserve"> і не пов’язане з підвищенням рівня білірубіну ≥2 × ВМН або з </w:t>
      </w:r>
      <w:proofErr w:type="spellStart"/>
      <w:r>
        <w:rPr>
          <w:rFonts w:ascii="Times New Roman" w:hAnsi="Times New Roman"/>
          <w:sz w:val="24"/>
          <w:szCs w:val="24"/>
        </w:rPr>
        <w:t>холестазом</w:t>
      </w:r>
      <w:proofErr w:type="spellEnd"/>
      <w:r>
        <w:rPr>
          <w:rFonts w:ascii="Times New Roman" w:hAnsi="Times New Roman"/>
          <w:sz w:val="24"/>
          <w:szCs w:val="24"/>
        </w:rPr>
        <w:t xml:space="preserve">, і поверталося до початкового рівня при продовженні лікування або після припинення терапії. На початку терапії слід проводити печінкові проби. Лікування </w:t>
      </w:r>
      <w:proofErr w:type="spellStart"/>
      <w:r>
        <w:rPr>
          <w:rFonts w:ascii="Times New Roman" w:hAnsi="Times New Roman"/>
          <w:sz w:val="24"/>
          <w:szCs w:val="24"/>
        </w:rPr>
        <w:t>бемпедоєвою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кислотою слід припинити, якщо підвищення рівня </w:t>
      </w:r>
      <w:proofErr w:type="spellStart"/>
      <w:r>
        <w:rPr>
          <w:rFonts w:ascii="Times New Roman" w:hAnsi="Times New Roman"/>
          <w:sz w:val="24"/>
          <w:szCs w:val="24"/>
        </w:rPr>
        <w:t>трансаміназ</w:t>
      </w:r>
      <w:proofErr w:type="spellEnd"/>
      <w:r>
        <w:rPr>
          <w:rFonts w:ascii="Times New Roman" w:hAnsi="Times New Roman"/>
          <w:sz w:val="24"/>
          <w:szCs w:val="24"/>
        </w:rPr>
        <w:t xml:space="preserve"> &gt;3 × ВМН зберігається (див. розділ «Побічні реакції»). </w:t>
      </w:r>
      <w:r>
        <w:rPr>
          <w:rFonts w:ascii="Times New Roman" w:hAnsi="Times New Roman"/>
          <w:i/>
          <w:sz w:val="24"/>
          <w:szCs w:val="24"/>
        </w:rPr>
        <w:t>Порушення функції нирок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Досвід застосування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пацієнтам з тяжкою нирковою недостатністю (визначеною як </w:t>
      </w:r>
      <w:proofErr w:type="spellStart"/>
      <w:r>
        <w:rPr>
          <w:rFonts w:ascii="Times New Roman" w:hAnsi="Times New Roman"/>
          <w:sz w:val="24"/>
          <w:szCs w:val="24"/>
        </w:rPr>
        <w:t>рШКФ</w:t>
      </w:r>
      <w:proofErr w:type="spellEnd"/>
      <w:r>
        <w:rPr>
          <w:rFonts w:ascii="Times New Roman" w:hAnsi="Times New Roman"/>
          <w:sz w:val="24"/>
          <w:szCs w:val="24"/>
        </w:rPr>
        <w:t xml:space="preserve"> &lt;30 </w:t>
      </w:r>
      <w:proofErr w:type="spellStart"/>
      <w:r>
        <w:rPr>
          <w:rFonts w:ascii="Times New Roman" w:hAnsi="Times New Roman"/>
          <w:sz w:val="24"/>
          <w:szCs w:val="24"/>
        </w:rPr>
        <w:t>мл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хв</w:t>
      </w:r>
      <w:proofErr w:type="spellEnd"/>
      <w:r>
        <w:rPr>
          <w:rFonts w:ascii="Times New Roman" w:hAnsi="Times New Roman"/>
          <w:sz w:val="24"/>
          <w:szCs w:val="24"/>
        </w:rPr>
        <w:t>/1,73 м²) обмежений, а пацієнтів з термінальною стадією ниркової недостатності, які перебувають на діалізі, не досліджували (див. розділ «Фармакокінетика»). При застосуванні лікарського засобу таким пацієнтам може знадобитися додатковий моніторинг щодо побічних реакцій.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Порушення функції печінки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Пацієнтів з тяжким порушенням функції печінки (клас C за </w:t>
      </w:r>
      <w:proofErr w:type="spellStart"/>
      <w:r>
        <w:rPr>
          <w:rFonts w:ascii="Times New Roman" w:hAnsi="Times New Roman"/>
          <w:sz w:val="24"/>
          <w:szCs w:val="24"/>
        </w:rPr>
        <w:t>Чайлдом-П’ю</w:t>
      </w:r>
      <w:proofErr w:type="spellEnd"/>
      <w:r>
        <w:rPr>
          <w:rFonts w:ascii="Times New Roman" w:hAnsi="Times New Roman"/>
          <w:sz w:val="24"/>
          <w:szCs w:val="24"/>
        </w:rPr>
        <w:t>) не досліджували (див. розділ «Фармакокінетика»). Пацієнтам з тяжким порушенням функції печінки слід розглянути періодичні печінкові проби.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Заходи контрацепції у жінок репродуктивного віку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 початком лікування жінок репродуктивного віку слід надати їм відповідні рекомендації щодо ефективних методів контрацепції та розпочати ефективну контрацепцію.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Пацієнток, які приймають пероральні контрацептиви на основі естрогену, слід попередити про можливу втрату ефективності через діарею та/або блювання. Пацієнткам слід порадити негайно звернутися до лікаря та припинити лікування, якщо вони планують вагітність або якщо вони завагітніли (див. розділ «Застосування у період вагітності або годування груддю»).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bookmarkStart w:id="1" w:name="_Hlk535834999"/>
      <w:r>
        <w:rPr>
          <w:rFonts w:ascii="Times New Roman" w:hAnsi="Times New Roman"/>
          <w:i/>
          <w:sz w:val="24"/>
          <w:szCs w:val="20"/>
          <w:lang w:eastAsia="ru-RU"/>
        </w:rPr>
        <w:t>Важлива інформація про допоміжні речовини</w:t>
      </w:r>
      <w:bookmarkEnd w:id="1"/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Лікарський засіб містить лактозу. Пацієнтам з рідкісними спадковими захворюваннями непереносимості галактози, повним дефіцитом лактази або </w:t>
      </w:r>
      <w:proofErr w:type="spellStart"/>
      <w:r>
        <w:rPr>
          <w:rFonts w:ascii="Times New Roman" w:hAnsi="Times New Roman"/>
          <w:sz w:val="24"/>
          <w:szCs w:val="24"/>
        </w:rPr>
        <w:t>мальабсорбцією</w:t>
      </w:r>
      <w:proofErr w:type="spellEnd"/>
      <w:r>
        <w:rPr>
          <w:rFonts w:ascii="Times New Roman" w:hAnsi="Times New Roman"/>
          <w:sz w:val="24"/>
          <w:szCs w:val="24"/>
        </w:rPr>
        <w:t xml:space="preserve"> глюкози-галактози не слід приймати цей лікарський засіб.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Цей лікарський засіб містить менше 1 </w:t>
      </w:r>
      <w:proofErr w:type="spellStart"/>
      <w:r>
        <w:rPr>
          <w:rFonts w:ascii="Times New Roman" w:hAnsi="Times New Roman"/>
          <w:sz w:val="24"/>
          <w:szCs w:val="24"/>
        </w:rPr>
        <w:t>ммоль</w:t>
      </w:r>
      <w:proofErr w:type="spellEnd"/>
      <w:r>
        <w:rPr>
          <w:rFonts w:ascii="Times New Roman" w:hAnsi="Times New Roman"/>
          <w:sz w:val="24"/>
          <w:szCs w:val="24"/>
        </w:rPr>
        <w:t xml:space="preserve"> натрію (23 мг) на 1 таблетку, тобто практично не містить натрію.</w:t>
      </w:r>
    </w:p>
    <w:p w:rsidR="00686652" w:rsidRDefault="00686652" w:rsidP="00686652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</w:p>
    <w:p w:rsidR="00686652" w:rsidRDefault="00686652" w:rsidP="00686652">
      <w:pPr>
        <w:spacing w:after="0" w:line="240" w:lineRule="auto"/>
        <w:rPr>
          <w:rFonts w:ascii="Times New Roman" w:hAnsi="Times New Roman"/>
          <w:i/>
          <w:sz w:val="24"/>
          <w:szCs w:val="28"/>
        </w:rPr>
      </w:pPr>
      <w:r>
        <w:rPr>
          <w:rFonts w:ascii="Times New Roman" w:hAnsi="Times New Roman"/>
          <w:b/>
          <w:i/>
          <w:sz w:val="24"/>
          <w:szCs w:val="28"/>
        </w:rPr>
        <w:t>Застосування у період вагітності або годування груддю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Вагітність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Лікарський засіб протипоказаний у період вагітності (див. розділ «Протипоказання»). Дані щодо застосування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вагітним жінкам відсутні або обмежені. </w:t>
      </w:r>
      <w:r>
        <w:rPr>
          <w:rFonts w:ascii="Times New Roman" w:hAnsi="Times New Roman"/>
          <w:sz w:val="24"/>
          <w:szCs w:val="24"/>
        </w:rPr>
        <w:lastRenderedPageBreak/>
        <w:t xml:space="preserve">Дослідження впливу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на тварин показали репродуктивну токсичність. Оскільки 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знижує синтез холестерину та, можливо, синтез інших похідних холестерину, необхідних для нормального розвитку плода, 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може завдати шкоди плоду при застосуванні вагітним жінкам. Прийом лікарського засобу слід припинити до зачаття або як тільки вагітність планується чи діагностується (див. розділ «Протипоказання»).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Жінки репродуктивного віку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Жінкам репродуктивного віку слід використовувати ефективні засоби контрацепції у період лікування (див. розділ «Особливості застосування»).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Грудне годування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Невідомо, чи проникає 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або її метаболіти у грудне молоко. Через потенційну можливість серйозних побічних реакцій жінкам, які приймають лікарський засіб, слід припинити годування груддю. Лікарський засіб протипоказаний у період годування груддю (див. розділ «Протипоказання»).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Фертильність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Дані щодо впливу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на фертильність людини відсутні. На основі досліджень на тваринах не очікується впливу лікарського засобу на репродуктивну функцію або фертильність.</w:t>
      </w:r>
    </w:p>
    <w:p w:rsidR="00686652" w:rsidRDefault="00686652" w:rsidP="00686652">
      <w:pPr>
        <w:widowControl w:val="0"/>
        <w:spacing w:after="0" w:line="240" w:lineRule="auto"/>
        <w:rPr>
          <w:rFonts w:ascii="Times New Roman" w:hAnsi="Times New Roman"/>
          <w:i/>
          <w:sz w:val="24"/>
          <w:szCs w:val="20"/>
          <w:lang w:eastAsia="ru-RU"/>
        </w:rPr>
      </w:pP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i/>
          <w:sz w:val="24"/>
          <w:szCs w:val="28"/>
        </w:rPr>
      </w:pPr>
      <w:r>
        <w:rPr>
          <w:rFonts w:ascii="Times New Roman" w:hAnsi="Times New Roman"/>
          <w:b/>
          <w:i/>
          <w:sz w:val="24"/>
          <w:szCs w:val="28"/>
        </w:rPr>
        <w:t>Здатність впливати на швидкість реакції при керуванні автотранспортом або іншими механізмами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Лікарський засіб не впливає або має незначний вплив на здатність керувати транспортними засобами та працювати з механізмами.</w:t>
      </w:r>
    </w:p>
    <w:p w:rsidR="00686652" w:rsidRDefault="00686652" w:rsidP="00686652">
      <w:pPr>
        <w:widowControl w:val="0"/>
        <w:spacing w:after="0" w:line="240" w:lineRule="auto"/>
        <w:rPr>
          <w:rFonts w:ascii="Times New Roman" w:hAnsi="Times New Roman"/>
          <w:i/>
          <w:sz w:val="24"/>
          <w:szCs w:val="20"/>
          <w:lang w:eastAsia="ru-RU"/>
        </w:rPr>
      </w:pPr>
    </w:p>
    <w:p w:rsidR="00686652" w:rsidRDefault="00686652" w:rsidP="00686652">
      <w:pPr>
        <w:widowControl w:val="0"/>
        <w:spacing w:after="0" w:line="240" w:lineRule="auto"/>
        <w:rPr>
          <w:rFonts w:ascii="Times New Roman" w:hAnsi="Times New Roman"/>
          <w:b/>
          <w:i/>
          <w:sz w:val="24"/>
          <w:szCs w:val="20"/>
        </w:rPr>
      </w:pPr>
      <w:r>
        <w:rPr>
          <w:rFonts w:ascii="Times New Roman" w:hAnsi="Times New Roman"/>
          <w:b/>
          <w:i/>
          <w:sz w:val="24"/>
          <w:szCs w:val="20"/>
        </w:rPr>
        <w:t>Спосіб застосування та дози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Спосіб застосування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Кожну таблетку, вкриту плівковою оболонкою, слід приймати </w:t>
      </w:r>
      <w:proofErr w:type="spellStart"/>
      <w:r>
        <w:rPr>
          <w:rFonts w:ascii="Times New Roman" w:hAnsi="Times New Roman"/>
          <w:sz w:val="24"/>
          <w:szCs w:val="24"/>
        </w:rPr>
        <w:t>перорально</w:t>
      </w:r>
      <w:proofErr w:type="spellEnd"/>
      <w:r>
        <w:rPr>
          <w:rFonts w:ascii="Times New Roman" w:hAnsi="Times New Roman"/>
          <w:sz w:val="24"/>
          <w:szCs w:val="24"/>
        </w:rPr>
        <w:t>, незалежно від їжі. Таблетку слід ковтати цілою.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Дозування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Рекомендована доза лікарського засобу становить 1 таблетку, вкриту плівковою оболонкою, 180 мг, яку слід приймати 1 раз на добу.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Супутня терапія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симвастатином</w:t>
      </w:r>
      <w:proofErr w:type="spellEnd"/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одночасному застосуванні лікарського засобу та </w:t>
      </w:r>
      <w:proofErr w:type="spellStart"/>
      <w:r>
        <w:rPr>
          <w:rFonts w:ascii="Times New Roman" w:hAnsi="Times New Roman"/>
          <w:sz w:val="24"/>
          <w:szCs w:val="24"/>
        </w:rPr>
        <w:t>симвастатину</w:t>
      </w:r>
      <w:proofErr w:type="spellEnd"/>
      <w:r>
        <w:rPr>
          <w:rFonts w:ascii="Times New Roman" w:hAnsi="Times New Roman"/>
          <w:sz w:val="24"/>
          <w:szCs w:val="24"/>
        </w:rPr>
        <w:t xml:space="preserve"> дозу </w:t>
      </w:r>
      <w:proofErr w:type="spellStart"/>
      <w:r>
        <w:rPr>
          <w:rFonts w:ascii="Times New Roman" w:hAnsi="Times New Roman"/>
          <w:sz w:val="24"/>
          <w:szCs w:val="24"/>
        </w:rPr>
        <w:t>симвастатину</w:t>
      </w:r>
      <w:proofErr w:type="spellEnd"/>
      <w:r>
        <w:rPr>
          <w:rFonts w:ascii="Times New Roman" w:hAnsi="Times New Roman"/>
          <w:sz w:val="24"/>
          <w:szCs w:val="24"/>
        </w:rPr>
        <w:t xml:space="preserve"> слід обмежити до 20 мг на добу (або 40 мг на добу для пацієнтів з тяжкою </w:t>
      </w:r>
      <w:proofErr w:type="spellStart"/>
      <w:r>
        <w:rPr>
          <w:rFonts w:ascii="Times New Roman" w:hAnsi="Times New Roman"/>
          <w:sz w:val="24"/>
          <w:szCs w:val="24"/>
        </w:rPr>
        <w:t>гіперхолестеринемією</w:t>
      </w:r>
      <w:proofErr w:type="spellEnd"/>
      <w:r>
        <w:rPr>
          <w:rFonts w:ascii="Times New Roman" w:hAnsi="Times New Roman"/>
          <w:sz w:val="24"/>
          <w:szCs w:val="24"/>
        </w:rPr>
        <w:t xml:space="preserve"> та високим ризиком серцево-судинних ускладнень, які не досягли своєї мети лікування при нижчих дозах, і коли очікується, що користь переважатиме потенційні ризики) (див. розділи «Особливості застосування» і «Взаємодія з іншими лікарськими засобами та інші види взаємодій»).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Особливі групи пацієнтів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Пацієнти літнього віку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Коригування дози для пацієнтів літнього віку не потрібне (див. розділ «Фармакокінетика»).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Пацієнти з нирковою недостатністю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Пацієнтам з легким або помірним порушенням функції нирок корекція дози не потрібна. Дані щодо пацієнтів з тяжким порушенням функції нирок (визначеним як розрахункова </w:t>
      </w:r>
      <w:bookmarkStart w:id="2" w:name="_GoBack"/>
      <w:bookmarkEnd w:id="2"/>
      <w:r>
        <w:rPr>
          <w:rFonts w:ascii="Times New Roman" w:hAnsi="Times New Roman"/>
          <w:sz w:val="24"/>
          <w:szCs w:val="24"/>
        </w:rPr>
        <w:t xml:space="preserve">швидкість </w:t>
      </w:r>
      <w:proofErr w:type="spellStart"/>
      <w:r>
        <w:rPr>
          <w:rFonts w:ascii="Times New Roman" w:hAnsi="Times New Roman"/>
          <w:sz w:val="24"/>
          <w:szCs w:val="24"/>
        </w:rPr>
        <w:t>клубочкової</w:t>
      </w:r>
      <w:proofErr w:type="spellEnd"/>
      <w:r>
        <w:rPr>
          <w:rFonts w:ascii="Times New Roman" w:hAnsi="Times New Roman"/>
          <w:sz w:val="24"/>
          <w:szCs w:val="24"/>
        </w:rPr>
        <w:t xml:space="preserve"> фільтрації [</w:t>
      </w:r>
      <w:proofErr w:type="spellStart"/>
      <w:r>
        <w:rPr>
          <w:rFonts w:ascii="Times New Roman" w:hAnsi="Times New Roman"/>
          <w:sz w:val="24"/>
          <w:szCs w:val="24"/>
        </w:rPr>
        <w:t>рШКФ</w:t>
      </w:r>
      <w:proofErr w:type="spellEnd"/>
      <w:r>
        <w:rPr>
          <w:rFonts w:ascii="Times New Roman" w:hAnsi="Times New Roman"/>
          <w:sz w:val="24"/>
          <w:szCs w:val="24"/>
        </w:rPr>
        <w:t xml:space="preserve">] &lt;30 </w:t>
      </w:r>
      <w:proofErr w:type="spellStart"/>
      <w:r>
        <w:rPr>
          <w:rFonts w:ascii="Times New Roman" w:hAnsi="Times New Roman"/>
          <w:sz w:val="24"/>
          <w:szCs w:val="24"/>
        </w:rPr>
        <w:t>мл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хв</w:t>
      </w:r>
      <w:proofErr w:type="spellEnd"/>
      <w:r>
        <w:rPr>
          <w:rFonts w:ascii="Times New Roman" w:hAnsi="Times New Roman"/>
          <w:sz w:val="24"/>
          <w:szCs w:val="24"/>
        </w:rPr>
        <w:t>/1,73 м²) обмежені, а пацієнти з термінальною стадією ниркової недостатності, що перебувають на діалізі, не досліджувалися. Для таких пацієнтів може знадобитися додатковий моніторинг щодо побічних реакцій при застосуванні лікарського засобу (див. розділ «Особливості застосування»).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Пацієнти з печінковою недостатністю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Пацієнтам з легким або помірним порушенням функції печінки (шкала </w:t>
      </w:r>
      <w:proofErr w:type="spellStart"/>
      <w:r>
        <w:rPr>
          <w:rFonts w:ascii="Times New Roman" w:hAnsi="Times New Roman"/>
          <w:sz w:val="24"/>
          <w:szCs w:val="24"/>
        </w:rPr>
        <w:t>Чайлда-П’ю</w:t>
      </w:r>
      <w:proofErr w:type="spellEnd"/>
      <w:r>
        <w:rPr>
          <w:rFonts w:ascii="Times New Roman" w:hAnsi="Times New Roman"/>
          <w:sz w:val="24"/>
          <w:szCs w:val="24"/>
        </w:rPr>
        <w:t xml:space="preserve"> A або B) корекція дози не потрібна. Дані щодо пацієнтів з тяжким порушенням функції печінки відсутні. Пацієнтам з тяжким порушенням функції печінки слід періодично проводити визначення печінкових проб (див. розділ «Особливості застосування»).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6652" w:rsidRDefault="00686652" w:rsidP="00686652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i/>
          <w:sz w:val="24"/>
          <w:szCs w:val="28"/>
        </w:rPr>
        <w:t>Діти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Безпека та ефективність лікарського засобу для застосування у дітей віком до 18 років ще не встановлені. Дані відсутні.</w:t>
      </w:r>
    </w:p>
    <w:p w:rsidR="00686652" w:rsidRDefault="00686652" w:rsidP="00686652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</w:p>
    <w:p w:rsidR="00686652" w:rsidRDefault="00686652" w:rsidP="00686652">
      <w:pPr>
        <w:spacing w:after="0" w:line="240" w:lineRule="auto"/>
        <w:rPr>
          <w:rFonts w:ascii="Times New Roman" w:hAnsi="Times New Roman"/>
          <w:b/>
          <w:i/>
          <w:sz w:val="24"/>
          <w:szCs w:val="28"/>
        </w:rPr>
      </w:pPr>
      <w:r>
        <w:rPr>
          <w:rFonts w:ascii="Times New Roman" w:hAnsi="Times New Roman"/>
          <w:b/>
          <w:i/>
          <w:sz w:val="24"/>
          <w:szCs w:val="28"/>
        </w:rPr>
        <w:t>Передозування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Симптоми.</w:t>
      </w:r>
      <w:r>
        <w:rPr>
          <w:rFonts w:ascii="Times New Roman" w:hAnsi="Times New Roman"/>
          <w:sz w:val="24"/>
          <w:szCs w:val="24"/>
        </w:rPr>
        <w:t xml:space="preserve"> У клінічних випробуваннях застосовували дози до 240 мг/добу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бемпедоєвої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кислоти</w:t>
      </w:r>
      <w:r>
        <w:rPr>
          <w:rFonts w:ascii="Times New Roman" w:hAnsi="Times New Roman"/>
          <w:sz w:val="24"/>
          <w:szCs w:val="24"/>
        </w:rPr>
        <w:t xml:space="preserve"> (що в 1,3 </w:t>
      </w:r>
      <w:proofErr w:type="spellStart"/>
      <w:r>
        <w:rPr>
          <w:rFonts w:ascii="Times New Roman" w:hAnsi="Times New Roman"/>
          <w:sz w:val="24"/>
          <w:szCs w:val="24"/>
        </w:rPr>
        <w:t>раза</w:t>
      </w:r>
      <w:proofErr w:type="spellEnd"/>
      <w:r>
        <w:rPr>
          <w:rFonts w:ascii="Times New Roman" w:hAnsi="Times New Roman"/>
          <w:sz w:val="24"/>
          <w:szCs w:val="24"/>
        </w:rPr>
        <w:t xml:space="preserve"> перевищує затверджену рекомендовану дозу) без ознак </w:t>
      </w:r>
      <w:proofErr w:type="spellStart"/>
      <w:r>
        <w:rPr>
          <w:rFonts w:ascii="Times New Roman" w:hAnsi="Times New Roman"/>
          <w:sz w:val="24"/>
          <w:szCs w:val="24"/>
        </w:rPr>
        <w:t>дозолімітуючої</w:t>
      </w:r>
      <w:proofErr w:type="spellEnd"/>
      <w:r>
        <w:rPr>
          <w:rFonts w:ascii="Times New Roman" w:hAnsi="Times New Roman"/>
          <w:sz w:val="24"/>
          <w:szCs w:val="24"/>
        </w:rPr>
        <w:t xml:space="preserve"> токсичності.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 дослідженнях на тваринах при експозиції, що до 14 разів перевищувала експозицію у пацієнтів, які отримували </w:t>
      </w:r>
      <w:proofErr w:type="spellStart"/>
      <w:r>
        <w:rPr>
          <w:rFonts w:ascii="Times New Roman" w:hAnsi="Times New Roman"/>
          <w:sz w:val="24"/>
          <w:szCs w:val="24"/>
        </w:rPr>
        <w:t>бемпедоєву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кислоту в дозі 180 мг 1 раз на добу, побічних ефектів не спостерігалося.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Лікування.</w:t>
      </w:r>
      <w:r>
        <w:rPr>
          <w:rFonts w:ascii="Times New Roman" w:hAnsi="Times New Roman"/>
          <w:sz w:val="24"/>
          <w:szCs w:val="24"/>
        </w:rPr>
        <w:t xml:space="preserve"> Специфічного лікування передозування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бемпедоєвою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кислотою</w:t>
      </w:r>
      <w:r>
        <w:rPr>
          <w:rFonts w:ascii="Times New Roman" w:hAnsi="Times New Roman"/>
          <w:sz w:val="24"/>
          <w:szCs w:val="24"/>
        </w:rPr>
        <w:t xml:space="preserve"> не існує. У разі передозування пацієнту слід проводити симптоматичне лікування та за потреби вживати підтримувальних заходів.</w:t>
      </w:r>
    </w:p>
    <w:p w:rsidR="00686652" w:rsidRDefault="00686652" w:rsidP="00686652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</w:p>
    <w:p w:rsidR="00686652" w:rsidRDefault="00686652" w:rsidP="00686652">
      <w:pPr>
        <w:spacing w:after="0" w:line="240" w:lineRule="auto"/>
        <w:rPr>
          <w:rFonts w:ascii="Times New Roman" w:hAnsi="Times New Roman"/>
          <w:b/>
          <w:i/>
          <w:sz w:val="24"/>
          <w:szCs w:val="28"/>
        </w:rPr>
      </w:pPr>
      <w:r>
        <w:rPr>
          <w:rFonts w:ascii="Times New Roman" w:hAnsi="Times New Roman"/>
          <w:b/>
          <w:i/>
          <w:sz w:val="24"/>
          <w:szCs w:val="28"/>
        </w:rPr>
        <w:t>Побічні реакції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Короткий опис профілю безпеки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Найчастіше повідомляли про побічні реакції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під час ключових досліджень, зокрема </w:t>
      </w:r>
      <w:proofErr w:type="spellStart"/>
      <w:r>
        <w:rPr>
          <w:rFonts w:ascii="Times New Roman" w:hAnsi="Times New Roman"/>
          <w:sz w:val="24"/>
          <w:szCs w:val="24"/>
        </w:rPr>
        <w:t>гіперурикемія</w:t>
      </w:r>
      <w:proofErr w:type="spellEnd"/>
      <w:r>
        <w:rPr>
          <w:rFonts w:ascii="Times New Roman" w:hAnsi="Times New Roman"/>
          <w:sz w:val="24"/>
          <w:szCs w:val="24"/>
        </w:rPr>
        <w:t xml:space="preserve"> (3,8 %), біль у кінцівках (3,1 %), анемія (2,5 %), подагра (1,4 %). Більше пацієнтів, які отримували </w:t>
      </w:r>
      <w:proofErr w:type="spellStart"/>
      <w:r>
        <w:rPr>
          <w:rFonts w:ascii="Times New Roman" w:hAnsi="Times New Roman"/>
          <w:sz w:val="24"/>
          <w:szCs w:val="24"/>
        </w:rPr>
        <w:t>бемпедоєву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кислоту, порівняно з плацебо, припинили лікування через м’язові спазми (0,7 % проти 0,3 %), діарею (0,5 % проти &lt;0,1 %), розрив сухожилля (0,5 % проти 0 %), біль у кінцівках (0,4 % проти 0) та нудоту (0,3 % проти 0,2 %), хоча різниця між </w:t>
      </w:r>
      <w:proofErr w:type="spellStart"/>
      <w:r>
        <w:rPr>
          <w:rFonts w:ascii="Times New Roman" w:hAnsi="Times New Roman"/>
          <w:sz w:val="24"/>
          <w:szCs w:val="24"/>
        </w:rPr>
        <w:t>бемпедоєвою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кислотою та плацебо не була суттєвою.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Табличний перелік побічних реакцій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Побічні реакції, про які повідомлялося при застосуванні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кислоти, на основі показників захворюваності, отриманих у дослідженнях первинної </w:t>
      </w:r>
      <w:proofErr w:type="spellStart"/>
      <w:r>
        <w:rPr>
          <w:rFonts w:ascii="Times New Roman" w:hAnsi="Times New Roman"/>
          <w:sz w:val="24"/>
          <w:szCs w:val="24"/>
        </w:rPr>
        <w:t>гіперліпідемії</w:t>
      </w:r>
      <w:proofErr w:type="spellEnd"/>
      <w:r>
        <w:rPr>
          <w:rFonts w:ascii="Times New Roman" w:hAnsi="Times New Roman"/>
          <w:sz w:val="24"/>
          <w:szCs w:val="24"/>
        </w:rPr>
        <w:t xml:space="preserve"> фази 3, та скоригованих за експозицією показників захворюваності, отриманих у дослідженні CLEAR </w:t>
      </w:r>
      <w:proofErr w:type="spellStart"/>
      <w:r>
        <w:rPr>
          <w:rFonts w:ascii="Times New Roman" w:hAnsi="Times New Roman"/>
          <w:sz w:val="24"/>
          <w:szCs w:val="24"/>
        </w:rPr>
        <w:t>Outcomes</w:t>
      </w:r>
      <w:proofErr w:type="spellEnd"/>
      <w:r>
        <w:rPr>
          <w:rFonts w:ascii="Times New Roman" w:hAnsi="Times New Roman"/>
          <w:sz w:val="24"/>
          <w:szCs w:val="24"/>
        </w:rPr>
        <w:t xml:space="preserve">, відображені за класами систем органів та частотою у таблиці нижче. </w:t>
      </w:r>
      <w:r>
        <w:rPr>
          <w:rFonts w:ascii="Times New Roman" w:hAnsi="Times New Roman"/>
          <w:sz w:val="24"/>
          <w:szCs w:val="24"/>
          <w:lang w:eastAsia="ru-RU"/>
        </w:rPr>
        <w:t>Всі побічні реакції приведено за системою класів та органів та частотою</w:t>
      </w:r>
      <w:r>
        <w:rPr>
          <w:rFonts w:ascii="Times New Roman" w:hAnsi="Times New Roman"/>
          <w:spacing w:val="-6"/>
          <w:sz w:val="24"/>
          <w:szCs w:val="24"/>
          <w:lang w:eastAsia="ru-RU"/>
        </w:rPr>
        <w:t>: дуже часто (</w:t>
      </w:r>
      <w:r>
        <w:rPr>
          <w:rFonts w:ascii="Times New Roman" w:hAnsi="Times New Roman"/>
          <w:sz w:val="24"/>
          <w:szCs w:val="24"/>
          <w:lang w:eastAsia="ru-RU"/>
        </w:rPr>
        <w:t>≥ 1/10)</w:t>
      </w:r>
      <w:r>
        <w:rPr>
          <w:rFonts w:ascii="Times New Roman" w:hAnsi="Times New Roman"/>
          <w:spacing w:val="-6"/>
          <w:sz w:val="24"/>
          <w:szCs w:val="24"/>
          <w:lang w:eastAsia="ru-RU"/>
        </w:rPr>
        <w:t>, часто (≥ 1/100 –</w:t>
      </w:r>
      <w:r>
        <w:rPr>
          <w:rFonts w:ascii="Times New Roman" w:hAnsi="Times New Roman"/>
          <w:sz w:val="24"/>
          <w:szCs w:val="24"/>
          <w:lang w:eastAsia="ru-RU"/>
        </w:rPr>
        <w:t xml:space="preserve"> &lt; 1/10), нечасто (≥ 1/1000 – &lt; 1/100), рідко (≥ 1/10000 – &lt; 1/1000), дуже рідко (&lt; 1/10000), частота невідома (не можуть бути оцінені за наявними даними).</w:t>
      </w:r>
    </w:p>
    <w:p w:rsidR="00686652" w:rsidRDefault="00686652" w:rsidP="0068665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Побічні реакції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9"/>
        <w:gridCol w:w="5300"/>
        <w:gridCol w:w="1526"/>
      </w:tblGrid>
      <w:tr w:rsidR="00686652" w:rsidTr="00686652"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Клас системи органів</w:t>
            </w:r>
          </w:p>
        </w:tc>
        <w:tc>
          <w:tcPr>
            <w:tcW w:w="2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Побічні реакції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Частота</w:t>
            </w:r>
          </w:p>
        </w:tc>
      </w:tr>
      <w:tr w:rsidR="00686652" w:rsidTr="00686652">
        <w:tc>
          <w:tcPr>
            <w:tcW w:w="1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З боку крові та лімфатичної системи</w:t>
            </w:r>
          </w:p>
        </w:tc>
        <w:tc>
          <w:tcPr>
            <w:tcW w:w="2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Анемія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Часто</w:t>
            </w:r>
          </w:p>
        </w:tc>
      </w:tr>
      <w:tr w:rsidR="00686652" w:rsidTr="0068665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52" w:rsidRDefault="0068665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Зниження рівня гемоглобіну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Нечасто</w:t>
            </w:r>
          </w:p>
        </w:tc>
      </w:tr>
      <w:tr w:rsidR="00686652" w:rsidTr="00686652">
        <w:trPr>
          <w:trHeight w:val="190"/>
        </w:trPr>
        <w:tc>
          <w:tcPr>
            <w:tcW w:w="1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З боку обміну речовин, метаболізму</w:t>
            </w:r>
          </w:p>
        </w:tc>
        <w:tc>
          <w:tcPr>
            <w:tcW w:w="2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Подагра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Часто</w:t>
            </w:r>
          </w:p>
        </w:tc>
      </w:tr>
      <w:tr w:rsidR="00686652" w:rsidTr="0068665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52" w:rsidRDefault="0068665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Гіперурикемія 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Часто</w:t>
            </w:r>
          </w:p>
        </w:tc>
      </w:tr>
      <w:tr w:rsidR="00686652" w:rsidTr="0068665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52" w:rsidRDefault="0068665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Зменшення маси тіла 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Нечасто</w:t>
            </w:r>
          </w:p>
        </w:tc>
      </w:tr>
      <w:tr w:rsidR="00686652" w:rsidTr="00686652">
        <w:tc>
          <w:tcPr>
            <w:tcW w:w="1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З боку печінки і жовчовивідних шляхів</w:t>
            </w:r>
          </w:p>
        </w:tc>
        <w:tc>
          <w:tcPr>
            <w:tcW w:w="2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Підвищення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аспартатамінотрансферази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(АСТ)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Часто</w:t>
            </w:r>
          </w:p>
        </w:tc>
      </w:tr>
      <w:tr w:rsidR="00686652" w:rsidTr="0068665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52" w:rsidRDefault="0068665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Підвищення аланін-амінотрансферази (АЛТ)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Нечасто</w:t>
            </w:r>
          </w:p>
        </w:tc>
      </w:tr>
      <w:tr w:rsidR="00686652" w:rsidTr="00686652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52" w:rsidRDefault="0068665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Підвищення показників функції печінки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Нечасто</w:t>
            </w:r>
          </w:p>
        </w:tc>
      </w:tr>
      <w:tr w:rsidR="00686652" w:rsidTr="00686652">
        <w:tc>
          <w:tcPr>
            <w:tcW w:w="1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З боку опорно-рухової системи та сполучної тканини</w:t>
            </w:r>
          </w:p>
        </w:tc>
        <w:tc>
          <w:tcPr>
            <w:tcW w:w="2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Біль у кінцівках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Часто</w:t>
            </w:r>
          </w:p>
        </w:tc>
      </w:tr>
      <w:tr w:rsidR="00686652" w:rsidTr="0068665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52" w:rsidRDefault="0068665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Розрив сухожилля*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Частота невідома</w:t>
            </w:r>
          </w:p>
        </w:tc>
      </w:tr>
      <w:tr w:rsidR="00686652" w:rsidTr="00686652">
        <w:tc>
          <w:tcPr>
            <w:tcW w:w="1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З боку нирок та сечовидільної системи</w:t>
            </w:r>
          </w:p>
        </w:tc>
        <w:tc>
          <w:tcPr>
            <w:tcW w:w="2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Зниження швидкості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клубочкової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фільтрації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Часто</w:t>
            </w:r>
          </w:p>
        </w:tc>
      </w:tr>
      <w:tr w:rsidR="00686652" w:rsidTr="0068665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52" w:rsidRDefault="0068665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Підвищення рівня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креатиніну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крові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Нечасто</w:t>
            </w:r>
          </w:p>
        </w:tc>
      </w:tr>
      <w:tr w:rsidR="00686652" w:rsidTr="0068665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52" w:rsidRDefault="0068665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Підвищення рівня сечовини в крові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52" w:rsidRDefault="00686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Нечасто</w:t>
            </w:r>
          </w:p>
        </w:tc>
      </w:tr>
    </w:tbl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  <w:vertAlign w:val="superscript"/>
        </w:rPr>
        <w:t>a</w:t>
      </w:r>
      <w:r>
        <w:rPr>
          <w:rFonts w:ascii="Times New Roman" w:hAnsi="Times New Roman"/>
          <w:szCs w:val="24"/>
        </w:rPr>
        <w:t> Гіперурикем</w:t>
      </w:r>
      <w:proofErr w:type="spellEnd"/>
      <w:r>
        <w:rPr>
          <w:rFonts w:ascii="Times New Roman" w:hAnsi="Times New Roman"/>
          <w:szCs w:val="24"/>
        </w:rPr>
        <w:t xml:space="preserve">ія включає </w:t>
      </w:r>
      <w:proofErr w:type="spellStart"/>
      <w:r>
        <w:rPr>
          <w:rFonts w:ascii="Times New Roman" w:hAnsi="Times New Roman"/>
          <w:szCs w:val="24"/>
        </w:rPr>
        <w:t>гіперурикемію</w:t>
      </w:r>
      <w:proofErr w:type="spellEnd"/>
      <w:r>
        <w:rPr>
          <w:rFonts w:ascii="Times New Roman" w:hAnsi="Times New Roman"/>
          <w:szCs w:val="24"/>
        </w:rPr>
        <w:t xml:space="preserve"> та підвищення рівня сечової кислоти в крові.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vertAlign w:val="superscript"/>
        </w:rPr>
        <w:t>b</w:t>
      </w:r>
      <w:r>
        <w:rPr>
          <w:rFonts w:ascii="Times New Roman" w:hAnsi="Times New Roman"/>
          <w:szCs w:val="24"/>
        </w:rPr>
        <w:t xml:space="preserve"> (Дослідження CLEAR </w:t>
      </w:r>
      <w:proofErr w:type="spellStart"/>
      <w:r>
        <w:rPr>
          <w:rFonts w:ascii="Times New Roman" w:hAnsi="Times New Roman"/>
          <w:szCs w:val="24"/>
        </w:rPr>
        <w:t>Outcomes</w:t>
      </w:r>
      <w:proofErr w:type="spellEnd"/>
      <w:r>
        <w:rPr>
          <w:rFonts w:ascii="Times New Roman" w:hAnsi="Times New Roman"/>
          <w:szCs w:val="24"/>
        </w:rPr>
        <w:t>) зниження маси тіла спостерігалося лише у пацієнтів з початковим індексом маси тіла (ІМТ) ≥30 кг/м², із середнім зниженням маси тіла на -2,28 кг на 36</w:t>
      </w:r>
      <w:r>
        <w:rPr>
          <w:rFonts w:ascii="Times New Roman" w:hAnsi="Times New Roman"/>
          <w:szCs w:val="24"/>
        </w:rPr>
        <w:noBreakHyphen/>
        <w:t xml:space="preserve">му місяці. Середнє зниження маси тіла становило ≤0,5 кг у пацієнтів з початковим ІМТ від 25 до &lt;30 кг/м². </w:t>
      </w:r>
      <w:proofErr w:type="spellStart"/>
      <w:r>
        <w:rPr>
          <w:rFonts w:ascii="Times New Roman" w:hAnsi="Times New Roman"/>
          <w:szCs w:val="24"/>
        </w:rPr>
        <w:t>Бемпедоєва</w:t>
      </w:r>
      <w:proofErr w:type="spellEnd"/>
      <w:r>
        <w:rPr>
          <w:rFonts w:ascii="Times New Roman" w:hAnsi="Times New Roman"/>
          <w:szCs w:val="24"/>
        </w:rPr>
        <w:t xml:space="preserve"> кислота не була пов’язана із середньою зміною маси тіла у пацієнтів з початковим ІМТ &lt;25 кг/м².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Опис окремих побічних реакцій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Підвищення рівня печінкових ферментів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Повідомлялося про підвищення рівня сироваткових </w:t>
      </w:r>
      <w:proofErr w:type="spellStart"/>
      <w:r>
        <w:rPr>
          <w:rFonts w:ascii="Times New Roman" w:hAnsi="Times New Roman"/>
          <w:sz w:val="24"/>
          <w:szCs w:val="24"/>
        </w:rPr>
        <w:t>трансаміназ</w:t>
      </w:r>
      <w:proofErr w:type="spellEnd"/>
      <w:r>
        <w:rPr>
          <w:rFonts w:ascii="Times New Roman" w:hAnsi="Times New Roman"/>
          <w:sz w:val="24"/>
          <w:szCs w:val="24"/>
        </w:rPr>
        <w:t xml:space="preserve"> (АСТ та/або АЛТ) при застосуванні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кислоти. У дослідженнях первинної </w:t>
      </w:r>
      <w:proofErr w:type="spellStart"/>
      <w:r>
        <w:rPr>
          <w:rFonts w:ascii="Times New Roman" w:hAnsi="Times New Roman"/>
          <w:sz w:val="24"/>
          <w:szCs w:val="24"/>
        </w:rPr>
        <w:t>гіперліпідемії</w:t>
      </w:r>
      <w:proofErr w:type="spellEnd"/>
      <w:r>
        <w:rPr>
          <w:rFonts w:ascii="Times New Roman" w:hAnsi="Times New Roman"/>
          <w:sz w:val="24"/>
          <w:szCs w:val="24"/>
        </w:rPr>
        <w:t xml:space="preserve"> фази 3 частота підвищення (≥3 × ВМН) рівнів печінкових </w:t>
      </w:r>
      <w:proofErr w:type="spellStart"/>
      <w:r>
        <w:rPr>
          <w:rFonts w:ascii="Times New Roman" w:hAnsi="Times New Roman"/>
          <w:sz w:val="24"/>
          <w:szCs w:val="24"/>
        </w:rPr>
        <w:t>трансаміназ</w:t>
      </w:r>
      <w:proofErr w:type="spellEnd"/>
      <w:r>
        <w:rPr>
          <w:rFonts w:ascii="Times New Roman" w:hAnsi="Times New Roman"/>
          <w:sz w:val="24"/>
          <w:szCs w:val="24"/>
        </w:rPr>
        <w:t xml:space="preserve"> становила 0,7 % для пацієнтів, які отримували </w:t>
      </w:r>
      <w:proofErr w:type="spellStart"/>
      <w:r>
        <w:rPr>
          <w:rFonts w:ascii="Times New Roman" w:hAnsi="Times New Roman"/>
          <w:sz w:val="24"/>
          <w:szCs w:val="24"/>
        </w:rPr>
        <w:t>бемпедоєву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кислоту, та 0,3 % для плацебо. У дослідженні CLEAR </w:t>
      </w:r>
      <w:proofErr w:type="spellStart"/>
      <w:r>
        <w:rPr>
          <w:rFonts w:ascii="Times New Roman" w:hAnsi="Times New Roman"/>
          <w:sz w:val="24"/>
          <w:szCs w:val="24"/>
        </w:rPr>
        <w:t>Outcomes</w:t>
      </w:r>
      <w:proofErr w:type="spellEnd"/>
      <w:r>
        <w:rPr>
          <w:rFonts w:ascii="Times New Roman" w:hAnsi="Times New Roman"/>
          <w:sz w:val="24"/>
          <w:szCs w:val="24"/>
        </w:rPr>
        <w:t xml:space="preserve"> частота підвищення рівня печінкових </w:t>
      </w:r>
      <w:proofErr w:type="spellStart"/>
      <w:r>
        <w:rPr>
          <w:rFonts w:ascii="Times New Roman" w:hAnsi="Times New Roman"/>
          <w:sz w:val="24"/>
          <w:szCs w:val="24"/>
        </w:rPr>
        <w:t>трансаміназ</w:t>
      </w:r>
      <w:proofErr w:type="spellEnd"/>
      <w:r>
        <w:rPr>
          <w:rFonts w:ascii="Times New Roman" w:hAnsi="Times New Roman"/>
          <w:sz w:val="24"/>
          <w:szCs w:val="24"/>
        </w:rPr>
        <w:t xml:space="preserve"> &gt;3× ВМН також частіше спостерігалася у пацієнтів, які отримували </w:t>
      </w:r>
      <w:proofErr w:type="spellStart"/>
      <w:r>
        <w:rPr>
          <w:rFonts w:ascii="Times New Roman" w:hAnsi="Times New Roman"/>
          <w:sz w:val="24"/>
          <w:szCs w:val="24"/>
        </w:rPr>
        <w:t>бемпедоєву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кислоту (1,6 %), ніж у пацієнтів, які отримували плацебо (1 %). Це підвищення рівня </w:t>
      </w:r>
      <w:proofErr w:type="spellStart"/>
      <w:r>
        <w:rPr>
          <w:rFonts w:ascii="Times New Roman" w:hAnsi="Times New Roman"/>
          <w:sz w:val="24"/>
          <w:szCs w:val="24"/>
        </w:rPr>
        <w:t>трансаміназ</w:t>
      </w:r>
      <w:proofErr w:type="spellEnd"/>
      <w:r>
        <w:rPr>
          <w:rFonts w:ascii="Times New Roman" w:hAnsi="Times New Roman"/>
          <w:sz w:val="24"/>
          <w:szCs w:val="24"/>
        </w:rPr>
        <w:t xml:space="preserve"> не було пов’язане з іншими ознаками </w:t>
      </w:r>
      <w:proofErr w:type="spellStart"/>
      <w:r>
        <w:rPr>
          <w:rFonts w:ascii="Times New Roman" w:hAnsi="Times New Roman"/>
          <w:sz w:val="24"/>
          <w:szCs w:val="24"/>
        </w:rPr>
        <w:t>дисфункції</w:t>
      </w:r>
      <w:proofErr w:type="spellEnd"/>
      <w:r>
        <w:rPr>
          <w:rFonts w:ascii="Times New Roman" w:hAnsi="Times New Roman"/>
          <w:sz w:val="24"/>
          <w:szCs w:val="24"/>
        </w:rPr>
        <w:t xml:space="preserve"> печінки (див. розділ «Особливості застосування»).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Підвищений рівень сечової кислоти в сироватці крові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 клінічних випробуваннях </w:t>
      </w:r>
      <w:proofErr w:type="spellStart"/>
      <w:r>
        <w:rPr>
          <w:rFonts w:ascii="Times New Roman" w:hAnsi="Times New Roman"/>
          <w:sz w:val="24"/>
          <w:szCs w:val="24"/>
        </w:rPr>
        <w:t>бемпедєвої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спостерігалося підвищення рівня сечової кислоти в сироватці крові, можливо, пов’язане з пригніченням ОАТ2 ниркових канальців (див. розділ «Взаємодія з іншими лікарськими засобами та інші види взаємодій»). У дослідженнях первинної </w:t>
      </w:r>
      <w:proofErr w:type="spellStart"/>
      <w:r>
        <w:rPr>
          <w:rFonts w:ascii="Times New Roman" w:hAnsi="Times New Roman"/>
          <w:sz w:val="24"/>
          <w:szCs w:val="24"/>
        </w:rPr>
        <w:t>гіперліпідемії</w:t>
      </w:r>
      <w:proofErr w:type="spellEnd"/>
      <w:r>
        <w:rPr>
          <w:rFonts w:ascii="Times New Roman" w:hAnsi="Times New Roman"/>
          <w:sz w:val="24"/>
          <w:szCs w:val="24"/>
        </w:rPr>
        <w:t xml:space="preserve"> фази 3 спостерігалося середнє підвищення рівня сечової кислоти на 47,6 </w:t>
      </w:r>
      <w:proofErr w:type="spellStart"/>
      <w:r>
        <w:rPr>
          <w:rFonts w:ascii="Times New Roman" w:hAnsi="Times New Roman"/>
          <w:sz w:val="24"/>
          <w:szCs w:val="24"/>
        </w:rPr>
        <w:t>мікромоль</w:t>
      </w:r>
      <w:proofErr w:type="spellEnd"/>
      <w:r>
        <w:rPr>
          <w:rFonts w:ascii="Times New Roman" w:hAnsi="Times New Roman"/>
          <w:sz w:val="24"/>
          <w:szCs w:val="24"/>
        </w:rPr>
        <w:t>/л (0,8 мг/</w:t>
      </w:r>
      <w:proofErr w:type="spellStart"/>
      <w:r>
        <w:rPr>
          <w:rFonts w:ascii="Times New Roman" w:hAnsi="Times New Roman"/>
          <w:sz w:val="24"/>
          <w:szCs w:val="24"/>
        </w:rPr>
        <w:t>дл</w:t>
      </w:r>
      <w:proofErr w:type="spellEnd"/>
      <w:r>
        <w:rPr>
          <w:rFonts w:ascii="Times New Roman" w:hAnsi="Times New Roman"/>
          <w:sz w:val="24"/>
          <w:szCs w:val="24"/>
        </w:rPr>
        <w:t xml:space="preserve">) порівняно з початковим рівнем при застосуванні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на 12-му тижні. Підвищення рівня сечової кислоти в сироватці крові зазвичай відбувалося протягом перших 4 тижнів лікування та поверталося до початкового рівня після припинення лікування. У дослідженнях первинної </w:t>
      </w:r>
      <w:proofErr w:type="spellStart"/>
      <w:r>
        <w:rPr>
          <w:rFonts w:ascii="Times New Roman" w:hAnsi="Times New Roman"/>
          <w:sz w:val="24"/>
          <w:szCs w:val="24"/>
        </w:rPr>
        <w:t>гіперліпідемії</w:t>
      </w:r>
      <w:proofErr w:type="spellEnd"/>
      <w:r>
        <w:rPr>
          <w:rFonts w:ascii="Times New Roman" w:hAnsi="Times New Roman"/>
          <w:sz w:val="24"/>
          <w:szCs w:val="24"/>
        </w:rPr>
        <w:t xml:space="preserve"> фази 3 про подагру повідомляли у 1,4 % пацієнтів, які отримували </w:t>
      </w:r>
      <w:proofErr w:type="spellStart"/>
      <w:r>
        <w:rPr>
          <w:rFonts w:ascii="Times New Roman" w:hAnsi="Times New Roman"/>
          <w:sz w:val="24"/>
          <w:szCs w:val="24"/>
        </w:rPr>
        <w:t>бемпедоєву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кислоту, та у 0,4 % пацієнтів, які отримували плацебо (див. розділ «Особливості застосування»). У дослідженні CLEAR </w:t>
      </w:r>
      <w:proofErr w:type="spellStart"/>
      <w:r>
        <w:rPr>
          <w:rFonts w:ascii="Times New Roman" w:hAnsi="Times New Roman"/>
          <w:sz w:val="24"/>
          <w:szCs w:val="24"/>
        </w:rPr>
        <w:t>Outcomes</w:t>
      </w:r>
      <w:proofErr w:type="spellEnd"/>
      <w:r>
        <w:rPr>
          <w:rFonts w:ascii="Times New Roman" w:hAnsi="Times New Roman"/>
          <w:sz w:val="24"/>
          <w:szCs w:val="24"/>
        </w:rPr>
        <w:t xml:space="preserve"> у пацієнтів, які отримували </w:t>
      </w:r>
      <w:proofErr w:type="spellStart"/>
      <w:r>
        <w:rPr>
          <w:rFonts w:ascii="Times New Roman" w:hAnsi="Times New Roman"/>
          <w:sz w:val="24"/>
          <w:szCs w:val="24"/>
        </w:rPr>
        <w:t>бемпедоєву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кислоту, спостерігалося середнє збільшення рівня сечової кислоти на 47,6 </w:t>
      </w:r>
      <w:proofErr w:type="spellStart"/>
      <w:r>
        <w:rPr>
          <w:rFonts w:ascii="Times New Roman" w:hAnsi="Times New Roman"/>
          <w:sz w:val="24"/>
          <w:szCs w:val="24"/>
        </w:rPr>
        <w:t>мікромоль</w:t>
      </w:r>
      <w:proofErr w:type="spellEnd"/>
      <w:r>
        <w:rPr>
          <w:rFonts w:ascii="Times New Roman" w:hAnsi="Times New Roman"/>
          <w:sz w:val="24"/>
          <w:szCs w:val="24"/>
        </w:rPr>
        <w:t>/л (0,8 мг/</w:t>
      </w:r>
      <w:proofErr w:type="spellStart"/>
      <w:r>
        <w:rPr>
          <w:rFonts w:ascii="Times New Roman" w:hAnsi="Times New Roman"/>
          <w:sz w:val="24"/>
          <w:szCs w:val="24"/>
        </w:rPr>
        <w:t>дл</w:t>
      </w:r>
      <w:proofErr w:type="spellEnd"/>
      <w:r>
        <w:rPr>
          <w:rFonts w:ascii="Times New Roman" w:hAnsi="Times New Roman"/>
          <w:sz w:val="24"/>
          <w:szCs w:val="24"/>
        </w:rPr>
        <w:t xml:space="preserve">) порівняно з початковим рівнем на 3-му місяці, а подагра також частіше повідомлялася у пацієнтів, які отримували </w:t>
      </w:r>
      <w:proofErr w:type="spellStart"/>
      <w:r>
        <w:rPr>
          <w:rFonts w:ascii="Times New Roman" w:hAnsi="Times New Roman"/>
          <w:sz w:val="24"/>
          <w:szCs w:val="24"/>
        </w:rPr>
        <w:t>бемпедоєву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кислоту (3,1 %), ніж у пацієнтів, які отримували плацебо (2,1 %). В обох групах лікування пацієнти, які повідомляли про подагру, частіше мали подагру в анамнезі та/або початковий рівень сечової кислоти вище верхньої межі норми.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Вплив на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креатинін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сироватки крові та азот сечовини крові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Було показано, що </w:t>
      </w:r>
      <w:proofErr w:type="spellStart"/>
      <w:r>
        <w:rPr>
          <w:rFonts w:ascii="Times New Roman" w:hAnsi="Times New Roman"/>
          <w:sz w:val="24"/>
          <w:szCs w:val="24"/>
        </w:rPr>
        <w:t>бемпедоєва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кислота підвищує рівень </w:t>
      </w:r>
      <w:proofErr w:type="spellStart"/>
      <w:r>
        <w:rPr>
          <w:rFonts w:ascii="Times New Roman" w:hAnsi="Times New Roman"/>
          <w:sz w:val="24"/>
          <w:szCs w:val="24"/>
        </w:rPr>
        <w:t>креатиніну</w:t>
      </w:r>
      <w:proofErr w:type="spellEnd"/>
      <w:r>
        <w:rPr>
          <w:rFonts w:ascii="Times New Roman" w:hAnsi="Times New Roman"/>
          <w:sz w:val="24"/>
          <w:szCs w:val="24"/>
        </w:rPr>
        <w:t xml:space="preserve"> в сироватці крові та азоту сечовини крові (АСЕ). У дослідженнях фази 3 первинної </w:t>
      </w:r>
      <w:proofErr w:type="spellStart"/>
      <w:r>
        <w:rPr>
          <w:rFonts w:ascii="Times New Roman" w:hAnsi="Times New Roman"/>
          <w:sz w:val="24"/>
          <w:szCs w:val="24"/>
        </w:rPr>
        <w:t>гіперліпідемії</w:t>
      </w:r>
      <w:proofErr w:type="spellEnd"/>
      <w:r>
        <w:rPr>
          <w:rFonts w:ascii="Times New Roman" w:hAnsi="Times New Roman"/>
          <w:sz w:val="24"/>
          <w:szCs w:val="24"/>
        </w:rPr>
        <w:t xml:space="preserve"> спостерігалося середнє збільшення </w:t>
      </w:r>
      <w:proofErr w:type="spellStart"/>
      <w:r>
        <w:rPr>
          <w:rFonts w:ascii="Times New Roman" w:hAnsi="Times New Roman"/>
          <w:sz w:val="24"/>
          <w:szCs w:val="24"/>
        </w:rPr>
        <w:t>креатиніну</w:t>
      </w:r>
      <w:proofErr w:type="spellEnd"/>
      <w:r>
        <w:rPr>
          <w:rFonts w:ascii="Times New Roman" w:hAnsi="Times New Roman"/>
          <w:sz w:val="24"/>
          <w:szCs w:val="24"/>
        </w:rPr>
        <w:t xml:space="preserve"> в сироватці крові на 4,4 </w:t>
      </w:r>
      <w:proofErr w:type="spellStart"/>
      <w:r>
        <w:rPr>
          <w:rFonts w:ascii="Times New Roman" w:hAnsi="Times New Roman"/>
          <w:sz w:val="24"/>
          <w:szCs w:val="24"/>
        </w:rPr>
        <w:t>мікромоль</w:t>
      </w:r>
      <w:proofErr w:type="spellEnd"/>
      <w:r>
        <w:rPr>
          <w:rFonts w:ascii="Times New Roman" w:hAnsi="Times New Roman"/>
          <w:sz w:val="24"/>
          <w:szCs w:val="24"/>
        </w:rPr>
        <w:t>/л (0,05 мг/</w:t>
      </w:r>
      <w:proofErr w:type="spellStart"/>
      <w:r>
        <w:rPr>
          <w:rFonts w:ascii="Times New Roman" w:hAnsi="Times New Roman"/>
          <w:sz w:val="24"/>
          <w:szCs w:val="24"/>
        </w:rPr>
        <w:t>дл</w:t>
      </w:r>
      <w:proofErr w:type="spellEnd"/>
      <w:r>
        <w:rPr>
          <w:rFonts w:ascii="Times New Roman" w:hAnsi="Times New Roman"/>
          <w:sz w:val="24"/>
          <w:szCs w:val="24"/>
        </w:rPr>
        <w:t xml:space="preserve">) та середнє збільшення АСЕ на 0,61 </w:t>
      </w:r>
      <w:proofErr w:type="spellStart"/>
      <w:r>
        <w:rPr>
          <w:rFonts w:ascii="Times New Roman" w:hAnsi="Times New Roman"/>
          <w:sz w:val="24"/>
          <w:szCs w:val="24"/>
        </w:rPr>
        <w:t>ммоль</w:t>
      </w:r>
      <w:proofErr w:type="spellEnd"/>
      <w:r>
        <w:rPr>
          <w:rFonts w:ascii="Times New Roman" w:hAnsi="Times New Roman"/>
          <w:sz w:val="24"/>
          <w:szCs w:val="24"/>
        </w:rPr>
        <w:t>/л (1,7 мг/</w:t>
      </w:r>
      <w:proofErr w:type="spellStart"/>
      <w:r>
        <w:rPr>
          <w:rFonts w:ascii="Times New Roman" w:hAnsi="Times New Roman"/>
          <w:sz w:val="24"/>
          <w:szCs w:val="24"/>
        </w:rPr>
        <w:t>дл</w:t>
      </w:r>
      <w:proofErr w:type="spellEnd"/>
      <w:r>
        <w:rPr>
          <w:rFonts w:ascii="Times New Roman" w:hAnsi="Times New Roman"/>
          <w:sz w:val="24"/>
          <w:szCs w:val="24"/>
        </w:rPr>
        <w:t xml:space="preserve">) порівняно з початковим рівнем при застосуванні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на 12-му тижні. Підвищення рівня </w:t>
      </w:r>
      <w:proofErr w:type="spellStart"/>
      <w:r>
        <w:rPr>
          <w:rFonts w:ascii="Times New Roman" w:hAnsi="Times New Roman"/>
          <w:sz w:val="24"/>
          <w:szCs w:val="24"/>
        </w:rPr>
        <w:t>креатиніну</w:t>
      </w:r>
      <w:proofErr w:type="spellEnd"/>
      <w:r>
        <w:rPr>
          <w:rFonts w:ascii="Times New Roman" w:hAnsi="Times New Roman"/>
          <w:sz w:val="24"/>
          <w:szCs w:val="24"/>
        </w:rPr>
        <w:t xml:space="preserve"> в сироватці крові та АСЕ зазвичай відбувалося протягом перших 4 тижнів лікування, залишалося стабільним і поверталося до початкового рівня після припинення лікування. Подібне середнє збільшення рівня </w:t>
      </w:r>
      <w:proofErr w:type="spellStart"/>
      <w:r>
        <w:rPr>
          <w:rFonts w:ascii="Times New Roman" w:hAnsi="Times New Roman"/>
          <w:sz w:val="24"/>
          <w:szCs w:val="24"/>
        </w:rPr>
        <w:t>креатиніну</w:t>
      </w:r>
      <w:proofErr w:type="spellEnd"/>
      <w:r>
        <w:rPr>
          <w:rFonts w:ascii="Times New Roman" w:hAnsi="Times New Roman"/>
          <w:sz w:val="24"/>
          <w:szCs w:val="24"/>
        </w:rPr>
        <w:t xml:space="preserve"> в сироватці крові (5,8 мікромоль/л (0,066 мг/</w:t>
      </w:r>
      <w:proofErr w:type="spellStart"/>
      <w:r>
        <w:rPr>
          <w:rFonts w:ascii="Times New Roman" w:hAnsi="Times New Roman"/>
          <w:sz w:val="24"/>
          <w:szCs w:val="24"/>
        </w:rPr>
        <w:t>дл</w:t>
      </w:r>
      <w:proofErr w:type="spellEnd"/>
      <w:r>
        <w:rPr>
          <w:rFonts w:ascii="Times New Roman" w:hAnsi="Times New Roman"/>
          <w:sz w:val="24"/>
          <w:szCs w:val="24"/>
        </w:rPr>
        <w:t xml:space="preserve">)) та АСЕ (0,82 </w:t>
      </w:r>
      <w:proofErr w:type="spellStart"/>
      <w:r>
        <w:rPr>
          <w:rFonts w:ascii="Times New Roman" w:hAnsi="Times New Roman"/>
          <w:sz w:val="24"/>
          <w:szCs w:val="24"/>
        </w:rPr>
        <w:t>ммоль</w:t>
      </w:r>
      <w:proofErr w:type="spellEnd"/>
      <w:r>
        <w:rPr>
          <w:rFonts w:ascii="Times New Roman" w:hAnsi="Times New Roman"/>
          <w:sz w:val="24"/>
          <w:szCs w:val="24"/>
        </w:rPr>
        <w:t>/л (2,3 мг/</w:t>
      </w:r>
      <w:proofErr w:type="spellStart"/>
      <w:r>
        <w:rPr>
          <w:rFonts w:ascii="Times New Roman" w:hAnsi="Times New Roman"/>
          <w:sz w:val="24"/>
          <w:szCs w:val="24"/>
        </w:rPr>
        <w:t>дл</w:t>
      </w:r>
      <w:proofErr w:type="spellEnd"/>
      <w:r>
        <w:rPr>
          <w:rFonts w:ascii="Times New Roman" w:hAnsi="Times New Roman"/>
          <w:sz w:val="24"/>
          <w:szCs w:val="24"/>
        </w:rPr>
        <w:t xml:space="preserve">)) спостерігалося при застосуванні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в дослідженні CLEAR </w:t>
      </w:r>
      <w:proofErr w:type="spellStart"/>
      <w:r>
        <w:rPr>
          <w:rFonts w:ascii="Times New Roman" w:hAnsi="Times New Roman"/>
          <w:sz w:val="24"/>
          <w:szCs w:val="24"/>
        </w:rPr>
        <w:t>Outcomes</w:t>
      </w:r>
      <w:proofErr w:type="spellEnd"/>
      <w:r>
        <w:rPr>
          <w:rFonts w:ascii="Times New Roman" w:hAnsi="Times New Roman"/>
          <w:sz w:val="24"/>
          <w:szCs w:val="24"/>
        </w:rPr>
        <w:t xml:space="preserve">. Спостережуване підвищення рівня </w:t>
      </w:r>
      <w:proofErr w:type="spellStart"/>
      <w:r>
        <w:rPr>
          <w:rFonts w:ascii="Times New Roman" w:hAnsi="Times New Roman"/>
          <w:sz w:val="24"/>
          <w:szCs w:val="24"/>
        </w:rPr>
        <w:t>креатиніну</w:t>
      </w:r>
      <w:proofErr w:type="spellEnd"/>
      <w:r>
        <w:rPr>
          <w:rFonts w:ascii="Times New Roman" w:hAnsi="Times New Roman"/>
          <w:sz w:val="24"/>
          <w:szCs w:val="24"/>
        </w:rPr>
        <w:t xml:space="preserve"> в сироватці крові може бути пов'язане з пригніченням </w:t>
      </w:r>
      <w:proofErr w:type="spellStart"/>
      <w:r>
        <w:rPr>
          <w:rFonts w:ascii="Times New Roman" w:hAnsi="Times New Roman"/>
          <w:sz w:val="24"/>
          <w:szCs w:val="24"/>
        </w:rPr>
        <w:t>бемпедоєвою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кислотою OAT2-залежної </w:t>
      </w:r>
      <w:proofErr w:type="spellStart"/>
      <w:r>
        <w:rPr>
          <w:rFonts w:ascii="Times New Roman" w:hAnsi="Times New Roman"/>
          <w:sz w:val="24"/>
          <w:szCs w:val="24"/>
        </w:rPr>
        <w:t>канальцевої</w:t>
      </w:r>
      <w:proofErr w:type="spellEnd"/>
      <w:r>
        <w:rPr>
          <w:rFonts w:ascii="Times New Roman" w:hAnsi="Times New Roman"/>
          <w:sz w:val="24"/>
          <w:szCs w:val="24"/>
        </w:rPr>
        <w:t xml:space="preserve"> секреції </w:t>
      </w:r>
      <w:proofErr w:type="spellStart"/>
      <w:r>
        <w:rPr>
          <w:rFonts w:ascii="Times New Roman" w:hAnsi="Times New Roman"/>
          <w:sz w:val="24"/>
          <w:szCs w:val="24"/>
        </w:rPr>
        <w:t>креатиніну</w:t>
      </w:r>
      <w:proofErr w:type="spellEnd"/>
      <w:r>
        <w:rPr>
          <w:rFonts w:ascii="Times New Roman" w:hAnsi="Times New Roman"/>
          <w:sz w:val="24"/>
          <w:szCs w:val="24"/>
        </w:rPr>
        <w:t xml:space="preserve"> (див. розділ «Взаємодія з іншими лікарськими засобами та інші види взаємодій»), що являє собою взаємодію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з ендогенним субстратом і, очевидно, не свідчить про погіршення функції нирок. Цей ефект слід враховувати при інтерпретації змін розрахункового кліренсу </w:t>
      </w:r>
      <w:proofErr w:type="spellStart"/>
      <w:r>
        <w:rPr>
          <w:rFonts w:ascii="Times New Roman" w:hAnsi="Times New Roman"/>
          <w:sz w:val="24"/>
          <w:szCs w:val="24"/>
        </w:rPr>
        <w:t>креатиніну</w:t>
      </w:r>
      <w:proofErr w:type="spellEnd"/>
      <w:r>
        <w:rPr>
          <w:rFonts w:ascii="Times New Roman" w:hAnsi="Times New Roman"/>
          <w:sz w:val="24"/>
          <w:szCs w:val="24"/>
        </w:rPr>
        <w:t xml:space="preserve"> у пацієнтів, які отримують терапію </w:t>
      </w:r>
      <w:proofErr w:type="spellStart"/>
      <w:r>
        <w:rPr>
          <w:rFonts w:ascii="Times New Roman" w:hAnsi="Times New Roman"/>
          <w:sz w:val="24"/>
          <w:szCs w:val="24"/>
        </w:rPr>
        <w:t>бемпедоєвою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кислотою, особливо у пацієнтів із захворюваннями або тих, хто отримує лікарські засоби, що потребують моніторингу розрахункового кліренсу </w:t>
      </w:r>
      <w:proofErr w:type="spellStart"/>
      <w:r>
        <w:rPr>
          <w:rFonts w:ascii="Times New Roman" w:hAnsi="Times New Roman"/>
          <w:sz w:val="24"/>
          <w:szCs w:val="24"/>
        </w:rPr>
        <w:t>креатиніну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Знижений гемоглобін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 клінічних випробуваннях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спостерігалося зниження рівня гемоглобіну. У дослідженнях первинної </w:t>
      </w:r>
      <w:proofErr w:type="spellStart"/>
      <w:r>
        <w:rPr>
          <w:rFonts w:ascii="Times New Roman" w:hAnsi="Times New Roman"/>
          <w:sz w:val="24"/>
          <w:szCs w:val="24"/>
        </w:rPr>
        <w:t>гіперліпідемії</w:t>
      </w:r>
      <w:proofErr w:type="spellEnd"/>
      <w:r>
        <w:rPr>
          <w:rFonts w:ascii="Times New Roman" w:hAnsi="Times New Roman"/>
          <w:sz w:val="24"/>
          <w:szCs w:val="24"/>
        </w:rPr>
        <w:t xml:space="preserve"> фази 3 зниження рівня гемоглобіну від початкового рівня на ≥20 г/л та &lt; нижньої межі норми (НМН) спостерігалося у 4,6 % пацієнтів у групі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порівняно з 1,9 % пацієнтів, які отримували плацебо. Зниження рівня гемоглобіну понад 50 г/л та &lt;НМН спостерігалося з подібною частотою у групах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та плацебо (0,2 % проти 0,2 % відповідно). Зниження рівня гемоглобіну зазвичай відбувалося протягом перших 4 тижнів лікування та поверталося до </w:t>
      </w:r>
      <w:r>
        <w:rPr>
          <w:rFonts w:ascii="Times New Roman" w:hAnsi="Times New Roman"/>
          <w:sz w:val="24"/>
          <w:szCs w:val="24"/>
        </w:rPr>
        <w:lastRenderedPageBreak/>
        <w:t xml:space="preserve">початкового рівня після припинення лікування. Серед пацієнтів, у яких на початку дослідження були нормальні значення гемоглобіну, у 1,4 % у групі </w:t>
      </w:r>
      <w:proofErr w:type="spellStart"/>
      <w:r>
        <w:rPr>
          <w:rFonts w:ascii="Times New Roman" w:hAnsi="Times New Roman"/>
          <w:sz w:val="24"/>
          <w:szCs w:val="24"/>
        </w:rPr>
        <w:t>бемпедоєвої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кислоти та 0,4 % у групі плацебо спостерігалися значення гемоглобіну нижче НМН під час лікування. У дослідженнях первинної </w:t>
      </w:r>
      <w:proofErr w:type="spellStart"/>
      <w:r>
        <w:rPr>
          <w:rFonts w:ascii="Times New Roman" w:hAnsi="Times New Roman"/>
          <w:sz w:val="24"/>
          <w:szCs w:val="24"/>
        </w:rPr>
        <w:t>гіперліпідемії</w:t>
      </w:r>
      <w:proofErr w:type="spellEnd"/>
      <w:r>
        <w:rPr>
          <w:rFonts w:ascii="Times New Roman" w:hAnsi="Times New Roman"/>
          <w:sz w:val="24"/>
          <w:szCs w:val="24"/>
        </w:rPr>
        <w:t xml:space="preserve"> фази 3 про анемію повідомляли у 2,5 % пацієнтів, які отримували </w:t>
      </w:r>
      <w:proofErr w:type="spellStart"/>
      <w:r>
        <w:rPr>
          <w:rFonts w:ascii="Times New Roman" w:hAnsi="Times New Roman"/>
          <w:sz w:val="24"/>
          <w:szCs w:val="24"/>
        </w:rPr>
        <w:t>бемпедоєву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кислоту, та у 1,6 % пацієнтів, які отримували плацебо. У дослідженні CLEAR </w:t>
      </w:r>
      <w:proofErr w:type="spellStart"/>
      <w:r>
        <w:rPr>
          <w:rFonts w:ascii="Times New Roman" w:hAnsi="Times New Roman"/>
          <w:sz w:val="24"/>
          <w:szCs w:val="24"/>
        </w:rPr>
        <w:t>Outcomes</w:t>
      </w:r>
      <w:proofErr w:type="spellEnd"/>
      <w:r>
        <w:rPr>
          <w:rFonts w:ascii="Times New Roman" w:hAnsi="Times New Roman"/>
          <w:sz w:val="24"/>
          <w:szCs w:val="24"/>
        </w:rPr>
        <w:t xml:space="preserve"> спостерігалося подібне зниження рівня гемоглобіну, а анемія також частіше повідомлялася у пацієнтів, які отримували </w:t>
      </w:r>
      <w:proofErr w:type="spellStart"/>
      <w:r>
        <w:rPr>
          <w:rFonts w:ascii="Times New Roman" w:hAnsi="Times New Roman"/>
          <w:sz w:val="24"/>
          <w:szCs w:val="24"/>
        </w:rPr>
        <w:t>бемпедоєву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кислоту (4,7 %), порівняно з пацієнтами, які отримували плацебо (3,9 %).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Пацієнти літнього віку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 3621 пацієнта, яких лікували </w:t>
      </w:r>
      <w:proofErr w:type="spellStart"/>
      <w:r>
        <w:rPr>
          <w:rFonts w:ascii="Times New Roman" w:hAnsi="Times New Roman"/>
          <w:sz w:val="24"/>
          <w:szCs w:val="24"/>
        </w:rPr>
        <w:t>бемпедоєвою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кислотою у дослідженнях первинної </w:t>
      </w:r>
      <w:proofErr w:type="spellStart"/>
      <w:r>
        <w:rPr>
          <w:rFonts w:ascii="Times New Roman" w:hAnsi="Times New Roman"/>
          <w:sz w:val="24"/>
          <w:szCs w:val="24"/>
        </w:rPr>
        <w:t>гіперліпідемії</w:t>
      </w:r>
      <w:proofErr w:type="spellEnd"/>
      <w:r>
        <w:rPr>
          <w:rFonts w:ascii="Times New Roman" w:hAnsi="Times New Roman"/>
          <w:sz w:val="24"/>
          <w:szCs w:val="24"/>
        </w:rPr>
        <w:t xml:space="preserve"> фази 3, 2098 (58 %) були віком &gt;65 років. У дослідженні CLEAR </w:t>
      </w:r>
      <w:proofErr w:type="spellStart"/>
      <w:r>
        <w:rPr>
          <w:rFonts w:ascii="Times New Roman" w:hAnsi="Times New Roman"/>
          <w:sz w:val="24"/>
          <w:szCs w:val="24"/>
        </w:rPr>
        <w:t>Outcomes</w:t>
      </w:r>
      <w:proofErr w:type="spellEnd"/>
      <w:r>
        <w:rPr>
          <w:rFonts w:ascii="Times New Roman" w:hAnsi="Times New Roman"/>
          <w:sz w:val="24"/>
          <w:szCs w:val="24"/>
        </w:rPr>
        <w:t xml:space="preserve"> 4141 пацієнт (59 %), яких лікували </w:t>
      </w:r>
      <w:proofErr w:type="spellStart"/>
      <w:r>
        <w:rPr>
          <w:rFonts w:ascii="Times New Roman" w:hAnsi="Times New Roman"/>
          <w:sz w:val="24"/>
          <w:szCs w:val="24"/>
        </w:rPr>
        <w:t>бемпедоєвою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кислотою, були віком ≥65 років, а 1066 пацієнтів (15 %), яких лікували </w:t>
      </w:r>
      <w:proofErr w:type="spellStart"/>
      <w:r>
        <w:rPr>
          <w:rFonts w:ascii="Times New Roman" w:hAnsi="Times New Roman"/>
          <w:sz w:val="24"/>
          <w:szCs w:val="24"/>
        </w:rPr>
        <w:t>бемпедоєвою</w:t>
      </w:r>
      <w:proofErr w:type="spellEnd"/>
      <w:r>
        <w:rPr>
          <w:rFonts w:ascii="Times New Roman" w:hAnsi="Times New Roman"/>
          <w:sz w:val="24"/>
          <w:szCs w:val="24"/>
        </w:rPr>
        <w:t xml:space="preserve"> кислотою, були віком ≥75 років. Загальної різниці в безпеці між людьми літнього віку та молодшою популяцією не спостерігалося.</w:t>
      </w:r>
    </w:p>
    <w:p w:rsidR="00686652" w:rsidRDefault="00686652" w:rsidP="006866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0"/>
          <w:u w:val="single"/>
          <w:lang w:eastAsia="ru-RU"/>
        </w:rPr>
        <w:t>Повідомлення про підозрювані побічні реакції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0"/>
          <w:lang w:eastAsia="ru-RU"/>
        </w:rPr>
      </w:pPr>
      <w:r>
        <w:rPr>
          <w:rFonts w:ascii="Times New Roman" w:hAnsi="Times New Roman"/>
          <w:bCs/>
          <w:iCs/>
          <w:sz w:val="24"/>
          <w:szCs w:val="20"/>
          <w:lang w:eastAsia="ru-RU"/>
        </w:rPr>
        <w:t xml:space="preserve">Повідомлення про побічні реакції після реєстрації лікарського засобу має важливе значення. Це дає змогу проводити моніторинг співвідношення користь / ризик при застосуванні цього лікарського засобу. Медичним та фармацевтичним працівникам, а також пацієнтам або їх законним представникам слід повідомляти про усі випадки підозрюваних побічних реакцій та відсутності ефективності лікарського засобу через Автоматизовану інформаційну систему з </w:t>
      </w:r>
      <w:proofErr w:type="spellStart"/>
      <w:r>
        <w:rPr>
          <w:rFonts w:ascii="Times New Roman" w:hAnsi="Times New Roman"/>
          <w:bCs/>
          <w:iCs/>
          <w:sz w:val="24"/>
          <w:szCs w:val="20"/>
          <w:lang w:eastAsia="ru-RU"/>
        </w:rPr>
        <w:t>фармаконагляду</w:t>
      </w:r>
      <w:proofErr w:type="spellEnd"/>
      <w:r>
        <w:rPr>
          <w:rFonts w:ascii="Times New Roman" w:hAnsi="Times New Roman"/>
          <w:bCs/>
          <w:iCs/>
          <w:sz w:val="24"/>
          <w:szCs w:val="20"/>
          <w:lang w:eastAsia="ru-RU"/>
        </w:rPr>
        <w:t xml:space="preserve"> за посиланням: https://aisf.dec.gov.ua.</w:t>
      </w:r>
    </w:p>
    <w:p w:rsidR="00686652" w:rsidRDefault="00686652" w:rsidP="00686652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</w:p>
    <w:p w:rsidR="00686652" w:rsidRDefault="00686652" w:rsidP="00686652">
      <w:pPr>
        <w:pStyle w:val="Normal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Термін придатності. </w:t>
      </w:r>
      <w:r>
        <w:rPr>
          <w:rFonts w:ascii="Times New Roman" w:hAnsi="Times New Roman"/>
          <w:sz w:val="24"/>
          <w:szCs w:val="24"/>
        </w:rPr>
        <w:t>2 роки.</w:t>
      </w:r>
    </w:p>
    <w:p w:rsidR="00686652" w:rsidRDefault="00686652" w:rsidP="00686652">
      <w:pPr>
        <w:tabs>
          <w:tab w:val="left" w:pos="8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6652" w:rsidRDefault="00686652" w:rsidP="00686652">
      <w:pPr>
        <w:pStyle w:val="a4"/>
        <w:spacing w:after="0"/>
        <w:ind w:left="0"/>
        <w:jc w:val="both"/>
        <w:rPr>
          <w:b/>
        </w:rPr>
      </w:pPr>
      <w:r>
        <w:rPr>
          <w:b/>
        </w:rPr>
        <w:t xml:space="preserve">Умови зберігання. </w:t>
      </w:r>
      <w:r>
        <w:t>Не вимагає спеціальних умов зберігання. Зберігати у недоступному для дітей місці.</w:t>
      </w:r>
    </w:p>
    <w:p w:rsidR="00686652" w:rsidRDefault="00686652" w:rsidP="00686652">
      <w:pPr>
        <w:tabs>
          <w:tab w:val="left" w:pos="808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86652" w:rsidRDefault="00686652" w:rsidP="00686652">
      <w:pPr>
        <w:pStyle w:val="a4"/>
        <w:spacing w:after="0"/>
        <w:ind w:left="0"/>
        <w:jc w:val="both"/>
      </w:pPr>
      <w:r>
        <w:rPr>
          <w:b/>
        </w:rPr>
        <w:t>Упаковка.</w:t>
      </w:r>
      <w:r>
        <w:t xml:space="preserve"> По 10 таблеток у блістері, по 3 блістери в пачці з картону.</w:t>
      </w:r>
    </w:p>
    <w:p w:rsidR="00686652" w:rsidRDefault="00686652" w:rsidP="00686652">
      <w:pPr>
        <w:pStyle w:val="a4"/>
        <w:spacing w:after="0"/>
        <w:ind w:left="0"/>
        <w:jc w:val="both"/>
      </w:pP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Категорія відпуску. </w:t>
      </w:r>
      <w:r>
        <w:rPr>
          <w:rFonts w:ascii="Times New Roman" w:hAnsi="Times New Roman"/>
          <w:sz w:val="24"/>
          <w:szCs w:val="24"/>
        </w:rPr>
        <w:t>За рецептом.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6652" w:rsidRDefault="00686652" w:rsidP="0068665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</w:rPr>
        <w:t xml:space="preserve">Виробник. </w:t>
      </w:r>
      <w:proofErr w:type="spellStart"/>
      <w:r>
        <w:rPr>
          <w:rFonts w:ascii="Times New Roman" w:hAnsi="Times New Roman"/>
          <w:sz w:val="24"/>
          <w:szCs w:val="24"/>
          <w:lang w:eastAsia="ar-SA"/>
        </w:rPr>
        <w:t>Сінтон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ar-SA"/>
        </w:rPr>
        <w:t>Хіспанія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>, С.Л.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Місцезнаходження</w:t>
      </w:r>
      <w:r>
        <w:rPr>
          <w:rFonts w:ascii="Times New Roman" w:hAnsi="Times New Roman"/>
          <w:b/>
          <w:bCs/>
          <w:sz w:val="24"/>
          <w:szCs w:val="24"/>
        </w:rPr>
        <w:t xml:space="preserve"> виробника та адреса місця провадження його діяльності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  <w:lang w:eastAsia="ar-SA"/>
        </w:rPr>
        <w:t>Вул. К/</w:t>
      </w:r>
      <w:proofErr w:type="spellStart"/>
      <w:r>
        <w:rPr>
          <w:rFonts w:ascii="Times New Roman" w:eastAsia="Arial Unicode MS" w:hAnsi="Times New Roman"/>
          <w:sz w:val="24"/>
          <w:szCs w:val="24"/>
          <w:lang w:eastAsia="ar-SA"/>
        </w:rPr>
        <w:t>Кастелло</w:t>
      </w:r>
      <w:proofErr w:type="spellEnd"/>
      <w:r>
        <w:rPr>
          <w:rFonts w:ascii="Times New Roman" w:eastAsia="Arial Unicode MS" w:hAnsi="Times New Roman"/>
          <w:sz w:val="24"/>
          <w:szCs w:val="24"/>
          <w:lang w:eastAsia="ar-SA"/>
        </w:rPr>
        <w:t xml:space="preserve">, n°1, </w:t>
      </w:r>
      <w:proofErr w:type="spellStart"/>
      <w:r>
        <w:rPr>
          <w:rFonts w:ascii="Times New Roman" w:eastAsia="Arial Unicode MS" w:hAnsi="Times New Roman"/>
          <w:sz w:val="24"/>
          <w:szCs w:val="24"/>
          <w:lang w:eastAsia="ar-SA"/>
        </w:rPr>
        <w:t>Сант</w:t>
      </w:r>
      <w:proofErr w:type="spellEnd"/>
      <w:r>
        <w:rPr>
          <w:rFonts w:ascii="Times New Roman" w:eastAsia="Arial Unicode MS" w:hAnsi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Arial Unicode MS" w:hAnsi="Times New Roman"/>
          <w:sz w:val="24"/>
          <w:szCs w:val="24"/>
          <w:lang w:eastAsia="ar-SA"/>
        </w:rPr>
        <w:t>Боі</w:t>
      </w:r>
      <w:proofErr w:type="spellEnd"/>
      <w:r>
        <w:rPr>
          <w:rFonts w:ascii="Times New Roman" w:eastAsia="Arial Unicode MS" w:hAnsi="Times New Roman"/>
          <w:sz w:val="24"/>
          <w:szCs w:val="24"/>
          <w:lang w:eastAsia="ar-SA"/>
        </w:rPr>
        <w:t xml:space="preserve"> де </w:t>
      </w:r>
      <w:proofErr w:type="spellStart"/>
      <w:r>
        <w:rPr>
          <w:rFonts w:ascii="Times New Roman" w:eastAsia="Arial Unicode MS" w:hAnsi="Times New Roman"/>
          <w:sz w:val="24"/>
          <w:szCs w:val="24"/>
          <w:lang w:eastAsia="ar-SA"/>
        </w:rPr>
        <w:t>Ллобрегат</w:t>
      </w:r>
      <w:proofErr w:type="spellEnd"/>
      <w:r>
        <w:rPr>
          <w:rFonts w:ascii="Times New Roman" w:eastAsia="Arial Unicode MS" w:hAnsi="Times New Roman"/>
          <w:sz w:val="24"/>
          <w:szCs w:val="24"/>
          <w:lang w:eastAsia="ar-SA"/>
        </w:rPr>
        <w:t xml:space="preserve">, Барселона, 08830, </w:t>
      </w:r>
      <w:r>
        <w:rPr>
          <w:rFonts w:ascii="Times New Roman" w:hAnsi="Times New Roman"/>
          <w:sz w:val="24"/>
          <w:szCs w:val="24"/>
          <w:lang w:eastAsia="ar-SA"/>
        </w:rPr>
        <w:t>Іспанія.</w:t>
      </w:r>
    </w:p>
    <w:p w:rsidR="00686652" w:rsidRDefault="00686652" w:rsidP="006866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41BF8" w:rsidRPr="00686652" w:rsidRDefault="00686652"/>
    <w:sectPr w:rsidR="00341BF8" w:rsidRPr="0068665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652"/>
    <w:rsid w:val="004E413B"/>
    <w:rsid w:val="00686652"/>
    <w:rsid w:val="00BF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652"/>
    <w:rPr>
      <w:rFonts w:ascii="Calibri" w:eastAsia="Times New Roman" w:hAnsi="Calibri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,Normal (Web) Char Знак,webb Знак,Обычный (веб)1 Знак"/>
    <w:link w:val="a4"/>
    <w:uiPriority w:val="99"/>
    <w:semiHidden/>
    <w:locked/>
    <w:rsid w:val="006866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aliases w:val="Обычный (Web),Normal (Web) Char,webb,Обычный (веб)1"/>
    <w:basedOn w:val="a"/>
    <w:link w:val="a3"/>
    <w:uiPriority w:val="99"/>
    <w:semiHidden/>
    <w:unhideWhenUsed/>
    <w:qFormat/>
    <w:rsid w:val="00686652"/>
    <w:pPr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Normal1">
    <w:name w:val="Normal1"/>
    <w:uiPriority w:val="99"/>
    <w:semiHidden/>
    <w:qFormat/>
    <w:rsid w:val="00686652"/>
    <w:pPr>
      <w:widowControl w:val="0"/>
      <w:snapToGrid w:val="0"/>
      <w:spacing w:after="0" w:line="240" w:lineRule="auto"/>
      <w:contextualSpacing/>
    </w:pPr>
    <w:rPr>
      <w:rFonts w:ascii="Arial" w:eastAsia="Times New Roman" w:hAnsi="Arial" w:cs="Times New Roman"/>
      <w:szCs w:val="20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652"/>
    <w:rPr>
      <w:rFonts w:ascii="Calibri" w:eastAsia="Times New Roman" w:hAnsi="Calibri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,Normal (Web) Char Знак,webb Знак,Обычный (веб)1 Знак"/>
    <w:link w:val="a4"/>
    <w:uiPriority w:val="99"/>
    <w:semiHidden/>
    <w:locked/>
    <w:rsid w:val="006866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aliases w:val="Обычный (Web),Normal (Web) Char,webb,Обычный (веб)1"/>
    <w:basedOn w:val="a"/>
    <w:link w:val="a3"/>
    <w:uiPriority w:val="99"/>
    <w:semiHidden/>
    <w:unhideWhenUsed/>
    <w:qFormat/>
    <w:rsid w:val="00686652"/>
    <w:pPr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Normal1">
    <w:name w:val="Normal1"/>
    <w:uiPriority w:val="99"/>
    <w:semiHidden/>
    <w:qFormat/>
    <w:rsid w:val="00686652"/>
    <w:pPr>
      <w:widowControl w:val="0"/>
      <w:snapToGrid w:val="0"/>
      <w:spacing w:after="0" w:line="240" w:lineRule="auto"/>
      <w:contextualSpacing/>
    </w:pPr>
    <w:rPr>
      <w:rFonts w:ascii="Arial" w:eastAsia="Times New Roman" w:hAnsi="Arial" w:cs="Times New Roman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8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29064</Words>
  <Characters>16567</Characters>
  <Application>Microsoft Office Word</Application>
  <DocSecurity>0</DocSecurity>
  <Lines>138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</Company>
  <LinksUpToDate>false</LinksUpToDate>
  <CharactersWithSpaces>45540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2026-09-17T09:26:00Z</dcterms:created>
  <dcterms:modified xsi:type="dcterms:W3CDTF">2026-09-17T09:27:00Z</dcterms:modified>
</cp:coreProperties>
</file>